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283"/>
        <w:gridCol w:w="8222"/>
      </w:tblGrid>
      <w:tr w:rsidR="003D675A" w:rsidRPr="004B44B1" w14:paraId="0FDE9229" w14:textId="77777777" w:rsidTr="005E57B9">
        <w:trPr>
          <w:trHeight w:val="1418"/>
        </w:trPr>
        <w:tc>
          <w:tcPr>
            <w:tcW w:w="2552" w:type="dxa"/>
          </w:tcPr>
          <w:p w14:paraId="0FDE9227" w14:textId="77777777" w:rsidR="003D675A" w:rsidRPr="004B44B1" w:rsidRDefault="003D675A" w:rsidP="003D675A">
            <w:pPr>
              <w:jc w:val="right"/>
              <w:rPr>
                <w:rFonts w:ascii="Arial" w:hAnsi="Arial" w:cs="Arial"/>
                <w:sz w:val="20"/>
                <w:szCs w:val="20"/>
              </w:rPr>
            </w:pPr>
            <w:bookmarkStart w:id="0" w:name="_GoBack"/>
            <w:bookmarkEnd w:id="0"/>
          </w:p>
        </w:tc>
        <w:tc>
          <w:tcPr>
            <w:tcW w:w="8505" w:type="dxa"/>
            <w:gridSpan w:val="2"/>
          </w:tcPr>
          <w:p w14:paraId="0FDE9228" w14:textId="77777777" w:rsidR="003D675A" w:rsidRPr="004B44B1" w:rsidRDefault="003D675A">
            <w:pPr>
              <w:rPr>
                <w:rFonts w:ascii="Arial" w:hAnsi="Arial" w:cs="Arial"/>
                <w:sz w:val="20"/>
                <w:szCs w:val="20"/>
              </w:rPr>
            </w:pPr>
          </w:p>
        </w:tc>
      </w:tr>
      <w:tr w:rsidR="00B7554E" w:rsidRPr="004B44B1" w14:paraId="0FDE922D" w14:textId="77777777" w:rsidTr="001A2193">
        <w:trPr>
          <w:trHeight w:val="273"/>
        </w:trPr>
        <w:tc>
          <w:tcPr>
            <w:tcW w:w="2552" w:type="dxa"/>
            <w:tcBorders>
              <w:right w:val="single" w:sz="24" w:space="0" w:color="999999"/>
            </w:tcBorders>
          </w:tcPr>
          <w:p w14:paraId="0FDE922A" w14:textId="77777777" w:rsidR="00257DEB" w:rsidRPr="004B44B1" w:rsidRDefault="00257DEB">
            <w:pPr>
              <w:rPr>
                <w:rFonts w:ascii="Arial" w:hAnsi="Arial" w:cs="Arial"/>
                <w:sz w:val="20"/>
                <w:szCs w:val="20"/>
              </w:rPr>
            </w:pPr>
          </w:p>
        </w:tc>
        <w:tc>
          <w:tcPr>
            <w:tcW w:w="283" w:type="dxa"/>
            <w:tcBorders>
              <w:left w:val="single" w:sz="24" w:space="0" w:color="999999"/>
            </w:tcBorders>
          </w:tcPr>
          <w:p w14:paraId="0FDE922B" w14:textId="77777777" w:rsidR="00257DEB" w:rsidRPr="004B44B1" w:rsidRDefault="00257DEB" w:rsidP="00B7554E">
            <w:pPr>
              <w:rPr>
                <w:rFonts w:ascii="Arial" w:hAnsi="Arial" w:cs="Arial"/>
                <w:sz w:val="20"/>
                <w:szCs w:val="20"/>
              </w:rPr>
            </w:pPr>
          </w:p>
        </w:tc>
        <w:tc>
          <w:tcPr>
            <w:tcW w:w="8222" w:type="dxa"/>
          </w:tcPr>
          <w:p w14:paraId="0FDE922C" w14:textId="77777777" w:rsidR="00257DEB" w:rsidRPr="004B44B1" w:rsidRDefault="00257DEB">
            <w:pPr>
              <w:rPr>
                <w:rFonts w:ascii="Arial" w:hAnsi="Arial" w:cs="Arial"/>
                <w:sz w:val="20"/>
                <w:szCs w:val="20"/>
              </w:rPr>
            </w:pPr>
          </w:p>
        </w:tc>
      </w:tr>
      <w:tr w:rsidR="001A2193" w:rsidRPr="004B44B1" w14:paraId="0FDE9236" w14:textId="77777777" w:rsidTr="005109E8">
        <w:tc>
          <w:tcPr>
            <w:tcW w:w="2552" w:type="dxa"/>
            <w:tcBorders>
              <w:right w:val="single" w:sz="24" w:space="0" w:color="999999"/>
            </w:tcBorders>
          </w:tcPr>
          <w:p w14:paraId="0FDE922E" w14:textId="77777777" w:rsidR="003D675A" w:rsidRPr="004B44B1" w:rsidRDefault="004B44B1">
            <w:pPr>
              <w:rPr>
                <w:rFonts w:ascii="Arial" w:hAnsi="Arial" w:cs="Arial"/>
                <w:sz w:val="20"/>
                <w:szCs w:val="20"/>
              </w:rPr>
            </w:pPr>
            <w:r>
              <w:rPr>
                <w:rFonts w:ascii="Arial" w:hAnsi="Arial" w:cs="Arial"/>
                <w:noProof/>
                <w:sz w:val="20"/>
                <w:szCs w:val="20"/>
                <w:lang w:val="en-US" w:eastAsia="en-US"/>
              </w:rPr>
              <w:drawing>
                <wp:inline distT="0" distB="0" distL="0" distR="0" wp14:anchorId="0FDE954E" wp14:editId="0FDE954F">
                  <wp:extent cx="1425600" cy="110046"/>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Logo.png"/>
                          <pic:cNvPicPr/>
                        </pic:nvPicPr>
                        <pic:blipFill>
                          <a:blip r:embed="rId12">
                            <a:extLst>
                              <a:ext uri="{28A0092B-C50C-407E-A947-70E740481C1C}">
                                <a14:useLocalDpi xmlns:a14="http://schemas.microsoft.com/office/drawing/2010/main" val="0"/>
                              </a:ext>
                            </a:extLst>
                          </a:blip>
                          <a:stretch>
                            <a:fillRect/>
                          </a:stretch>
                        </pic:blipFill>
                        <pic:spPr>
                          <a:xfrm>
                            <a:off x="0" y="0"/>
                            <a:ext cx="1425600" cy="110046"/>
                          </a:xfrm>
                          <a:prstGeom prst="rect">
                            <a:avLst/>
                          </a:prstGeom>
                        </pic:spPr>
                      </pic:pic>
                    </a:graphicData>
                  </a:graphic>
                </wp:inline>
              </w:drawing>
            </w:r>
          </w:p>
        </w:tc>
        <w:tc>
          <w:tcPr>
            <w:tcW w:w="283" w:type="dxa"/>
            <w:tcBorders>
              <w:left w:val="single" w:sz="24" w:space="0" w:color="999999"/>
            </w:tcBorders>
          </w:tcPr>
          <w:p w14:paraId="0FDE922F" w14:textId="77777777" w:rsidR="003D675A" w:rsidRPr="004B44B1" w:rsidRDefault="003D675A" w:rsidP="00B7554E">
            <w:pPr>
              <w:rPr>
                <w:rFonts w:ascii="Arial" w:hAnsi="Arial" w:cs="Arial"/>
                <w:sz w:val="20"/>
                <w:szCs w:val="20"/>
              </w:rPr>
            </w:pPr>
          </w:p>
        </w:tc>
        <w:tc>
          <w:tcPr>
            <w:tcW w:w="8222" w:type="dxa"/>
            <w:shd w:val="clear" w:color="auto" w:fill="BC5E1E"/>
            <w:tcMar>
              <w:top w:w="113" w:type="dxa"/>
              <w:left w:w="113" w:type="dxa"/>
              <w:bottom w:w="113" w:type="dxa"/>
            </w:tcMar>
          </w:tcPr>
          <w:p w14:paraId="0FDE9230" w14:textId="77777777" w:rsidR="004950C3" w:rsidRPr="002D20BE" w:rsidRDefault="007A4D7C" w:rsidP="007A4D7C">
            <w:pPr>
              <w:spacing w:before="60"/>
              <w:rPr>
                <w:rFonts w:ascii="Arial Bold" w:hAnsi="Arial Bold" w:cs="Arial"/>
                <w:sz w:val="24"/>
                <w:szCs w:val="20"/>
              </w:rPr>
            </w:pPr>
            <w:r w:rsidRPr="002D20BE">
              <w:rPr>
                <w:rFonts w:ascii="Arial Bold" w:hAnsi="Arial Bold" w:cs="Arial"/>
                <w:sz w:val="24"/>
                <w:szCs w:val="20"/>
              </w:rPr>
              <w:t>BH MACRO LIMITED</w:t>
            </w:r>
          </w:p>
          <w:p w14:paraId="0544181C" w14:textId="77777777" w:rsidR="00DA3F32" w:rsidRPr="002D20BE" w:rsidRDefault="007A4D7C" w:rsidP="007A4D7C">
            <w:pPr>
              <w:spacing w:before="60"/>
              <w:rPr>
                <w:rFonts w:ascii="Arial Bold" w:hAnsi="Arial Bold" w:cs="Arial"/>
                <w:sz w:val="24"/>
                <w:szCs w:val="20"/>
              </w:rPr>
            </w:pPr>
            <w:r w:rsidRPr="002D20BE">
              <w:rPr>
                <w:rFonts w:ascii="Arial Bold" w:hAnsi="Arial Bold" w:cs="Arial"/>
                <w:sz w:val="24"/>
                <w:szCs w:val="20"/>
              </w:rPr>
              <w:t>MONTHLY SHAREHOLDER REPORT:</w:t>
            </w:r>
          </w:p>
          <w:p w14:paraId="0FDE9233" w14:textId="5DC27264" w:rsidR="007A4D7C" w:rsidRPr="002D20BE" w:rsidRDefault="00A920AD" w:rsidP="007A4D7C">
            <w:pPr>
              <w:spacing w:before="60"/>
              <w:rPr>
                <w:rFonts w:ascii="Arial Bold" w:hAnsi="Arial Bold" w:cs="Arial"/>
                <w:sz w:val="24"/>
                <w:szCs w:val="20"/>
              </w:rPr>
            </w:pPr>
            <w:r w:rsidRPr="002D20BE">
              <w:rPr>
                <w:rFonts w:ascii="Arial Bold" w:hAnsi="Arial Bold" w:cs="Arial"/>
                <w:sz w:val="24"/>
                <w:szCs w:val="20"/>
              </w:rPr>
              <w:t>MARCH</w:t>
            </w:r>
            <w:r w:rsidR="005834BC" w:rsidRPr="002D20BE">
              <w:rPr>
                <w:rFonts w:ascii="Arial Bold" w:hAnsi="Arial Bold" w:cs="Arial"/>
                <w:sz w:val="24"/>
                <w:szCs w:val="20"/>
              </w:rPr>
              <w:t xml:space="preserve"> 2017</w:t>
            </w:r>
            <w:r w:rsidR="006E30D1" w:rsidRPr="002D20BE">
              <w:rPr>
                <w:rFonts w:ascii="Arial Bold" w:hAnsi="Arial Bold" w:cs="Arial"/>
                <w:sz w:val="24"/>
                <w:szCs w:val="20"/>
              </w:rPr>
              <w:t xml:space="preserve"> </w:t>
            </w:r>
          </w:p>
          <w:p w14:paraId="4D6B732D" w14:textId="77777777" w:rsidR="006E30D1" w:rsidRPr="002D20BE" w:rsidRDefault="006E30D1" w:rsidP="007A4D7C">
            <w:pPr>
              <w:spacing w:before="60"/>
              <w:rPr>
                <w:rFonts w:ascii="Arial" w:hAnsi="Arial" w:cs="Arial"/>
                <w:sz w:val="20"/>
                <w:szCs w:val="20"/>
              </w:rPr>
            </w:pPr>
          </w:p>
          <w:p w14:paraId="0FDE9234" w14:textId="77777777" w:rsidR="007A4D7C" w:rsidRPr="002D20BE" w:rsidRDefault="007A4D7C" w:rsidP="007A4D7C">
            <w:pPr>
              <w:spacing w:before="60"/>
              <w:rPr>
                <w:rFonts w:ascii="Arial Bold" w:hAnsi="Arial Bold" w:cs="Arial"/>
                <w:sz w:val="18"/>
                <w:szCs w:val="20"/>
              </w:rPr>
            </w:pPr>
            <w:r w:rsidRPr="002D20BE">
              <w:rPr>
                <w:rFonts w:ascii="Arial Bold" w:hAnsi="Arial Bold" w:cs="Arial"/>
                <w:sz w:val="18"/>
                <w:szCs w:val="20"/>
              </w:rPr>
              <w:t>YOUR ATTENTION IS DRAWN TO THE DISCLAIMER AT THE END OF THIS DOCUMENT</w:t>
            </w:r>
          </w:p>
          <w:p w14:paraId="0FDE9235" w14:textId="77777777" w:rsidR="007A4D7C" w:rsidRPr="007A4D7C" w:rsidRDefault="007A4D7C" w:rsidP="007A4D7C">
            <w:pPr>
              <w:spacing w:before="60"/>
              <w:rPr>
                <w:rFonts w:ascii="Arial Bold" w:hAnsi="Arial Bold" w:cs="Arial"/>
                <w:color w:val="FFFFFF"/>
                <w:sz w:val="36"/>
                <w:szCs w:val="20"/>
              </w:rPr>
            </w:pPr>
          </w:p>
        </w:tc>
      </w:tr>
      <w:tr w:rsidR="00B7554E" w:rsidRPr="004B44B1" w14:paraId="0FDE923A" w14:textId="77777777" w:rsidTr="001A2193">
        <w:tc>
          <w:tcPr>
            <w:tcW w:w="2552" w:type="dxa"/>
          </w:tcPr>
          <w:p w14:paraId="0FDE9237" w14:textId="77777777" w:rsidR="00257DEB" w:rsidRPr="004B44B1" w:rsidRDefault="00257DEB">
            <w:pPr>
              <w:rPr>
                <w:rFonts w:ascii="Arial" w:hAnsi="Arial" w:cs="Arial"/>
                <w:sz w:val="20"/>
                <w:szCs w:val="20"/>
              </w:rPr>
            </w:pPr>
          </w:p>
        </w:tc>
        <w:tc>
          <w:tcPr>
            <w:tcW w:w="283" w:type="dxa"/>
          </w:tcPr>
          <w:p w14:paraId="0FDE9238" w14:textId="77777777" w:rsidR="00257DEB" w:rsidRPr="004B44B1" w:rsidRDefault="00257DEB">
            <w:pPr>
              <w:rPr>
                <w:rFonts w:ascii="Arial" w:hAnsi="Arial" w:cs="Arial"/>
                <w:sz w:val="20"/>
                <w:szCs w:val="20"/>
              </w:rPr>
            </w:pPr>
          </w:p>
        </w:tc>
        <w:tc>
          <w:tcPr>
            <w:tcW w:w="8222" w:type="dxa"/>
          </w:tcPr>
          <w:p w14:paraId="0FDE9239" w14:textId="77777777" w:rsidR="00257DEB" w:rsidRPr="004B44B1" w:rsidRDefault="00257DEB">
            <w:pPr>
              <w:rPr>
                <w:rFonts w:ascii="Arial" w:hAnsi="Arial" w:cs="Arial"/>
                <w:sz w:val="20"/>
                <w:szCs w:val="20"/>
              </w:rPr>
            </w:pPr>
          </w:p>
        </w:tc>
      </w:tr>
      <w:tr w:rsidR="003D675A" w:rsidRPr="004B44B1" w14:paraId="0FDE923E" w14:textId="77777777" w:rsidTr="001A2193">
        <w:tc>
          <w:tcPr>
            <w:tcW w:w="2552" w:type="dxa"/>
          </w:tcPr>
          <w:p w14:paraId="0FDE923B" w14:textId="77777777" w:rsidR="003D675A" w:rsidRPr="004B44B1" w:rsidRDefault="003D675A">
            <w:pPr>
              <w:rPr>
                <w:rFonts w:ascii="Arial" w:hAnsi="Arial" w:cs="Arial"/>
                <w:sz w:val="20"/>
                <w:szCs w:val="20"/>
              </w:rPr>
            </w:pPr>
          </w:p>
        </w:tc>
        <w:tc>
          <w:tcPr>
            <w:tcW w:w="283" w:type="dxa"/>
          </w:tcPr>
          <w:p w14:paraId="0FDE923C" w14:textId="77777777" w:rsidR="003D675A" w:rsidRPr="004B44B1" w:rsidRDefault="003D675A">
            <w:pPr>
              <w:rPr>
                <w:rFonts w:ascii="Arial" w:hAnsi="Arial" w:cs="Arial"/>
                <w:sz w:val="20"/>
                <w:szCs w:val="20"/>
              </w:rPr>
            </w:pPr>
          </w:p>
        </w:tc>
        <w:tc>
          <w:tcPr>
            <w:tcW w:w="8222" w:type="dxa"/>
          </w:tcPr>
          <w:p w14:paraId="0FDE923D" w14:textId="77777777" w:rsidR="003D675A" w:rsidRPr="00B7554E" w:rsidRDefault="003D675A" w:rsidP="00B7554E">
            <w:pPr>
              <w:tabs>
                <w:tab w:val="left" w:pos="2370"/>
              </w:tabs>
              <w:rPr>
                <w:rFonts w:ascii="Arial" w:hAnsi="Arial" w:cs="Arial"/>
                <w:b/>
                <w:sz w:val="18"/>
                <w:szCs w:val="18"/>
              </w:rPr>
            </w:pPr>
          </w:p>
        </w:tc>
      </w:tr>
    </w:tbl>
    <w:p w14:paraId="0FDE923F" w14:textId="77777777" w:rsidR="00257DEB" w:rsidRPr="004B44B1" w:rsidRDefault="00257DEB">
      <w:pPr>
        <w:rPr>
          <w:rFonts w:ascii="Arial" w:hAnsi="Arial" w:cs="Arial"/>
          <w:sz w:val="20"/>
          <w:szCs w:val="20"/>
        </w:rPr>
      </w:pPr>
      <w:r w:rsidRPr="004B44B1">
        <w:rPr>
          <w:rFonts w:ascii="Arial" w:hAnsi="Arial" w:cs="Arial"/>
          <w:sz w:val="20"/>
          <w:szCs w:val="20"/>
        </w:rPr>
        <w:br w:type="page"/>
      </w:r>
    </w:p>
    <w:tbl>
      <w:tblPr>
        <w:tblW w:w="10173" w:type="dxa"/>
        <w:tblInd w:w="-108" w:type="dxa"/>
        <w:tblLayout w:type="fixed"/>
        <w:tblCellMar>
          <w:top w:w="142" w:type="dxa"/>
          <w:left w:w="0" w:type="dxa"/>
        </w:tblCellMar>
        <w:tblLook w:val="0000" w:firstRow="0" w:lastRow="0" w:firstColumn="0" w:lastColumn="0" w:noHBand="0" w:noVBand="0"/>
      </w:tblPr>
      <w:tblGrid>
        <w:gridCol w:w="1809"/>
        <w:gridCol w:w="1417"/>
        <w:gridCol w:w="4110"/>
        <w:gridCol w:w="2837"/>
      </w:tblGrid>
      <w:tr w:rsidR="007A4D7C" w14:paraId="0FDE9242" w14:textId="77777777" w:rsidTr="00FF2A1B">
        <w:tc>
          <w:tcPr>
            <w:tcW w:w="1809" w:type="dxa"/>
          </w:tcPr>
          <w:p w14:paraId="0FDE9240" w14:textId="77777777" w:rsidR="007A4D7C" w:rsidRPr="007A4D7C" w:rsidRDefault="007A4D7C" w:rsidP="007A4D7C">
            <w:pPr>
              <w:spacing w:after="0" w:line="288" w:lineRule="auto"/>
              <w:jc w:val="both"/>
              <w:rPr>
                <w:rFonts w:ascii="Arial" w:hAnsi="Arial" w:cs="Arial"/>
                <w:b/>
                <w:color w:val="BC5E1E"/>
                <w:sz w:val="20"/>
                <w:szCs w:val="20"/>
              </w:rPr>
            </w:pPr>
            <w:bookmarkStart w:id="1" w:name="ContentStart"/>
            <w:bookmarkEnd w:id="1"/>
            <w:r w:rsidRPr="007A4D7C">
              <w:rPr>
                <w:rFonts w:ascii="Arial" w:hAnsi="Arial" w:cs="Arial"/>
                <w:b/>
                <w:color w:val="BC5E1E"/>
                <w:sz w:val="20"/>
                <w:szCs w:val="20"/>
              </w:rPr>
              <w:lastRenderedPageBreak/>
              <w:t>BH Macro Limited</w:t>
            </w:r>
          </w:p>
        </w:tc>
        <w:tc>
          <w:tcPr>
            <w:tcW w:w="8364" w:type="dxa"/>
            <w:gridSpan w:val="3"/>
          </w:tcPr>
          <w:p w14:paraId="0FDE9241" w14:textId="77777777" w:rsidR="007A4D7C" w:rsidRPr="007A4D7C" w:rsidRDefault="007A4D7C" w:rsidP="007A4D7C">
            <w:pPr>
              <w:spacing w:after="0" w:line="288" w:lineRule="auto"/>
              <w:jc w:val="both"/>
              <w:rPr>
                <w:rFonts w:ascii="Arial" w:hAnsi="Arial" w:cs="Arial"/>
                <w:b/>
                <w:color w:val="BC5E1E"/>
                <w:sz w:val="20"/>
                <w:szCs w:val="20"/>
              </w:rPr>
            </w:pPr>
            <w:r w:rsidRPr="007A4D7C">
              <w:rPr>
                <w:rFonts w:ascii="Arial" w:hAnsi="Arial" w:cs="Arial"/>
                <w:b/>
                <w:color w:val="BC5E1E"/>
                <w:sz w:val="20"/>
                <w:szCs w:val="20"/>
              </w:rPr>
              <w:t>Overview</w:t>
            </w:r>
          </w:p>
        </w:tc>
      </w:tr>
      <w:tr w:rsidR="007A4D7C" w14:paraId="0FDE9252" w14:textId="77777777" w:rsidTr="00771DA3">
        <w:trPr>
          <w:trHeight w:val="2145"/>
        </w:trPr>
        <w:tc>
          <w:tcPr>
            <w:tcW w:w="1809" w:type="dxa"/>
            <w:vMerge w:val="restart"/>
          </w:tcPr>
          <w:p w14:paraId="0FDE9243" w14:textId="77777777" w:rsidR="007A4D7C" w:rsidRPr="007A4D7C" w:rsidRDefault="007A4D7C" w:rsidP="007A4D7C">
            <w:pPr>
              <w:spacing w:after="120" w:line="240" w:lineRule="auto"/>
              <w:rPr>
                <w:rFonts w:ascii="Arial" w:eastAsia="Times New Roman" w:hAnsi="Arial" w:cs="Times New Roman"/>
                <w:b/>
                <w:sz w:val="18"/>
                <w:szCs w:val="24"/>
                <w:lang w:eastAsia="en-US"/>
              </w:rPr>
            </w:pPr>
            <w:r w:rsidRPr="007A4D7C">
              <w:rPr>
                <w:rFonts w:ascii="Arial" w:eastAsia="Times New Roman" w:hAnsi="Arial" w:cs="Times New Roman"/>
                <w:b/>
                <w:sz w:val="18"/>
                <w:szCs w:val="24"/>
                <w:lang w:eastAsia="en-US"/>
              </w:rPr>
              <w:t>Manager:</w:t>
            </w:r>
          </w:p>
          <w:p w14:paraId="0FDE9244" w14:textId="77777777" w:rsidR="007A4D7C" w:rsidRPr="007A4D7C" w:rsidRDefault="007A4D7C" w:rsidP="007A4D7C">
            <w:pPr>
              <w:spacing w:after="120" w:line="240" w:lineRule="auto"/>
              <w:rPr>
                <w:rFonts w:ascii="Arial" w:eastAsia="Times New Roman" w:hAnsi="Arial" w:cs="Times New Roman"/>
                <w:b/>
                <w:bCs/>
                <w:sz w:val="18"/>
                <w:szCs w:val="24"/>
                <w:lang w:eastAsia="en-US"/>
              </w:rPr>
            </w:pPr>
            <w:r w:rsidRPr="007A4D7C">
              <w:rPr>
                <w:rFonts w:ascii="Arial" w:eastAsia="Times New Roman" w:hAnsi="Arial" w:cs="Times New Roman"/>
                <w:sz w:val="18"/>
                <w:szCs w:val="24"/>
                <w:lang w:eastAsia="en-US"/>
              </w:rPr>
              <w:t>Brevan Howard Capital Management LP (“BHCM”)</w:t>
            </w:r>
          </w:p>
          <w:p w14:paraId="0FDE9245" w14:textId="77777777" w:rsidR="007A4D7C" w:rsidRPr="007A4D7C" w:rsidRDefault="007A4D7C" w:rsidP="007A4D7C">
            <w:pPr>
              <w:spacing w:after="120" w:line="240" w:lineRule="auto"/>
              <w:rPr>
                <w:rFonts w:ascii="Arial" w:eastAsia="Times New Roman" w:hAnsi="Arial" w:cs="Times New Roman"/>
                <w:b/>
                <w:bCs/>
                <w:sz w:val="18"/>
                <w:szCs w:val="24"/>
                <w:lang w:eastAsia="en-US"/>
              </w:rPr>
            </w:pPr>
            <w:r w:rsidRPr="007A4D7C">
              <w:rPr>
                <w:rFonts w:ascii="Arial" w:eastAsia="Times New Roman" w:hAnsi="Arial" w:cs="Times New Roman"/>
                <w:b/>
                <w:bCs/>
                <w:sz w:val="18"/>
                <w:szCs w:val="24"/>
                <w:lang w:eastAsia="en-US"/>
              </w:rPr>
              <w:t>Administrator:</w:t>
            </w:r>
          </w:p>
          <w:p w14:paraId="0FDE9246" w14:textId="77777777" w:rsidR="007A4D7C" w:rsidRPr="007A4D7C" w:rsidRDefault="007A4D7C" w:rsidP="007A4D7C">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Northern Trust International Fund Administration Services (Guernsey) Limited (“Northern Trust”)</w:t>
            </w:r>
          </w:p>
          <w:p w14:paraId="0FDE9247" w14:textId="667E37A1" w:rsidR="007A4D7C" w:rsidRPr="007A4D7C" w:rsidRDefault="004825EB" w:rsidP="007A4D7C">
            <w:pPr>
              <w:spacing w:after="120" w:line="240" w:lineRule="auto"/>
              <w:rPr>
                <w:rFonts w:ascii="Arial" w:eastAsia="Times New Roman" w:hAnsi="Arial" w:cs="Times New Roman"/>
                <w:b/>
                <w:bCs/>
                <w:sz w:val="18"/>
                <w:szCs w:val="24"/>
                <w:lang w:eastAsia="en-US"/>
              </w:rPr>
            </w:pPr>
            <w:r>
              <w:rPr>
                <w:rFonts w:ascii="Arial" w:eastAsia="Times New Roman" w:hAnsi="Arial" w:cs="Times New Roman"/>
                <w:b/>
                <w:bCs/>
                <w:sz w:val="18"/>
                <w:szCs w:val="24"/>
                <w:lang w:eastAsia="en-US"/>
              </w:rPr>
              <w:t>Corporate Broker</w:t>
            </w:r>
            <w:r w:rsidR="007A4D7C" w:rsidRPr="007A4D7C">
              <w:rPr>
                <w:rFonts w:ascii="Arial" w:eastAsia="Times New Roman" w:hAnsi="Arial" w:cs="Times New Roman"/>
                <w:b/>
                <w:bCs/>
                <w:sz w:val="18"/>
                <w:szCs w:val="24"/>
                <w:lang w:eastAsia="en-US"/>
              </w:rPr>
              <w:t>:</w:t>
            </w:r>
          </w:p>
          <w:p w14:paraId="0FDE9248" w14:textId="77777777" w:rsidR="007A4D7C" w:rsidRPr="007A4D7C" w:rsidRDefault="007A4D7C" w:rsidP="007A4D7C">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J.P. Morgan Cazenove</w:t>
            </w:r>
          </w:p>
          <w:p w14:paraId="0FDE9249" w14:textId="77777777" w:rsidR="007A4D7C" w:rsidRPr="007A4D7C" w:rsidRDefault="007A4D7C" w:rsidP="007A4D7C">
            <w:pPr>
              <w:spacing w:after="120" w:line="240" w:lineRule="auto"/>
              <w:rPr>
                <w:rFonts w:ascii="Arial" w:eastAsia="Times New Roman" w:hAnsi="Arial" w:cs="Times New Roman"/>
                <w:b/>
                <w:bCs/>
                <w:sz w:val="18"/>
                <w:szCs w:val="24"/>
                <w:lang w:eastAsia="en-US"/>
              </w:rPr>
            </w:pPr>
            <w:r w:rsidRPr="007A4D7C">
              <w:rPr>
                <w:rFonts w:ascii="Arial" w:eastAsia="Times New Roman" w:hAnsi="Arial" w:cs="Times New Roman"/>
                <w:b/>
                <w:bCs/>
                <w:sz w:val="18"/>
                <w:szCs w:val="24"/>
                <w:lang w:eastAsia="en-US"/>
              </w:rPr>
              <w:t>Listings:</w:t>
            </w:r>
          </w:p>
          <w:p w14:paraId="0FDE924A" w14:textId="77777777" w:rsidR="007A4D7C" w:rsidRPr="007A4D7C" w:rsidRDefault="007A4D7C" w:rsidP="007A4D7C">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London Stock Exchange (Premium Listing)</w:t>
            </w:r>
          </w:p>
          <w:p w14:paraId="0FDE924B" w14:textId="77777777" w:rsidR="007A4D7C" w:rsidRPr="007A4D7C" w:rsidRDefault="007A4D7C" w:rsidP="007A4D7C">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NASDAQ Dubai - USD Class (Secondary listing)</w:t>
            </w:r>
          </w:p>
          <w:p w14:paraId="0FDE924D" w14:textId="386C1A38" w:rsidR="007A4D7C" w:rsidRPr="002B308A" w:rsidRDefault="007A4D7C" w:rsidP="002B308A">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Bermuda St</w:t>
            </w:r>
            <w:r w:rsidR="002B308A">
              <w:rPr>
                <w:rFonts w:ascii="Arial" w:eastAsia="Times New Roman" w:hAnsi="Arial" w:cs="Times New Roman"/>
                <w:sz w:val="18"/>
                <w:szCs w:val="24"/>
                <w:lang w:eastAsia="en-US"/>
              </w:rPr>
              <w:t>ock Exchange (Secondary listing</w:t>
            </w:r>
          </w:p>
        </w:tc>
        <w:tc>
          <w:tcPr>
            <w:tcW w:w="8364" w:type="dxa"/>
            <w:gridSpan w:val="3"/>
          </w:tcPr>
          <w:p w14:paraId="0FDE924E" w14:textId="77777777" w:rsidR="007A4D7C" w:rsidRPr="007A4D7C" w:rsidRDefault="007A4D7C" w:rsidP="007A4D7C">
            <w:pPr>
              <w:spacing w:after="0" w:line="288" w:lineRule="auto"/>
              <w:jc w:val="both"/>
              <w:rPr>
                <w:rFonts w:ascii="Arial" w:hAnsi="Arial" w:cs="Arial"/>
                <w:color w:val="000000"/>
                <w:sz w:val="20"/>
                <w:szCs w:val="20"/>
              </w:rPr>
            </w:pPr>
            <w:r w:rsidRPr="007A4D7C">
              <w:rPr>
                <w:rFonts w:ascii="Arial" w:hAnsi="Arial" w:cs="Arial"/>
                <w:color w:val="000000"/>
                <w:sz w:val="20"/>
                <w:szCs w:val="20"/>
              </w:rPr>
              <w:t>BH Macro Limited (“BHM”) is a closed-ended investment company, registered and incorporated in Guernsey on 17 January 2007 (Registration Number: 46235).</w:t>
            </w:r>
          </w:p>
          <w:p w14:paraId="0FDE924F" w14:textId="697C7BCC" w:rsidR="007A4D7C" w:rsidRPr="007A4D7C" w:rsidRDefault="007A4D7C" w:rsidP="007A4D7C">
            <w:pPr>
              <w:spacing w:after="0" w:line="288" w:lineRule="auto"/>
              <w:jc w:val="both"/>
              <w:rPr>
                <w:rFonts w:ascii="Arial" w:hAnsi="Arial" w:cs="Arial"/>
                <w:color w:val="000000"/>
                <w:sz w:val="20"/>
                <w:szCs w:val="20"/>
              </w:rPr>
            </w:pPr>
            <w:r w:rsidRPr="007A4D7C">
              <w:rPr>
                <w:rFonts w:ascii="Arial" w:hAnsi="Arial" w:cs="Arial"/>
                <w:color w:val="000000"/>
                <w:sz w:val="20"/>
                <w:szCs w:val="20"/>
              </w:rPr>
              <w:t>BHM invests all of its assets (net of short-term working capital) in the ordinary shares of Brevan Howard Master Fund Limited (the</w:t>
            </w:r>
            <w:r w:rsidR="00B62567">
              <w:rPr>
                <w:rFonts w:ascii="Arial" w:hAnsi="Arial" w:cs="Arial"/>
                <w:color w:val="000000"/>
                <w:sz w:val="20"/>
                <w:szCs w:val="20"/>
              </w:rPr>
              <w:t xml:space="preserve"> </w:t>
            </w:r>
            <w:r w:rsidRPr="007A4D7C">
              <w:rPr>
                <w:rFonts w:ascii="Arial" w:hAnsi="Arial" w:cs="Arial"/>
                <w:color w:val="000000"/>
                <w:sz w:val="20"/>
                <w:szCs w:val="20"/>
              </w:rPr>
              <w:t>“Fund”).</w:t>
            </w:r>
          </w:p>
          <w:p w14:paraId="0FDE9250" w14:textId="77777777" w:rsidR="007A4D7C" w:rsidRPr="007A4D7C" w:rsidRDefault="007A4D7C" w:rsidP="007A4D7C">
            <w:pPr>
              <w:spacing w:after="0" w:line="288" w:lineRule="auto"/>
              <w:jc w:val="both"/>
              <w:rPr>
                <w:rFonts w:ascii="Arial" w:hAnsi="Arial" w:cs="Arial"/>
                <w:color w:val="000000"/>
                <w:sz w:val="20"/>
                <w:szCs w:val="20"/>
              </w:rPr>
            </w:pPr>
            <w:r w:rsidRPr="007A4D7C">
              <w:rPr>
                <w:rFonts w:ascii="Arial" w:hAnsi="Arial" w:cs="Arial"/>
                <w:color w:val="000000"/>
                <w:sz w:val="20"/>
                <w:szCs w:val="20"/>
              </w:rPr>
              <w:t>BHM was admitted to the Official List of the UK Listing Authority and to trading on the Main Market of the London Stock Exchange on 14 March 2007.</w:t>
            </w:r>
          </w:p>
          <w:p w14:paraId="0FDE9251" w14:textId="77777777" w:rsidR="007A4D7C" w:rsidRPr="007A4D7C" w:rsidRDefault="007A4D7C" w:rsidP="007A4D7C">
            <w:pPr>
              <w:spacing w:after="0" w:line="288" w:lineRule="auto"/>
              <w:jc w:val="both"/>
              <w:rPr>
                <w:rFonts w:ascii="Arial" w:hAnsi="Arial" w:cs="Arial"/>
                <w:color w:val="000000"/>
                <w:sz w:val="20"/>
                <w:szCs w:val="20"/>
              </w:rPr>
            </w:pPr>
          </w:p>
        </w:tc>
      </w:tr>
      <w:tr w:rsidR="007A4D7C" w14:paraId="0FDE9256" w14:textId="77777777" w:rsidTr="00FF2A1B">
        <w:trPr>
          <w:gridAfter w:val="1"/>
          <w:wAfter w:w="2837" w:type="dxa"/>
          <w:trHeight w:val="340"/>
        </w:trPr>
        <w:tc>
          <w:tcPr>
            <w:tcW w:w="1809" w:type="dxa"/>
            <w:vMerge/>
          </w:tcPr>
          <w:p w14:paraId="0FDE9253" w14:textId="77777777" w:rsidR="007A4D7C" w:rsidRPr="007A4D7C" w:rsidRDefault="007A4D7C" w:rsidP="007A4D7C">
            <w:pPr>
              <w:spacing w:after="120" w:line="240" w:lineRule="auto"/>
              <w:rPr>
                <w:rFonts w:ascii="Arial" w:eastAsia="Times New Roman" w:hAnsi="Arial" w:cs="Times New Roman"/>
                <w:b/>
                <w:sz w:val="18"/>
                <w:szCs w:val="24"/>
                <w:lang w:eastAsia="en-US"/>
              </w:rPr>
            </w:pPr>
          </w:p>
        </w:tc>
        <w:tc>
          <w:tcPr>
            <w:tcW w:w="1417" w:type="dxa"/>
          </w:tcPr>
          <w:p w14:paraId="0FDE9254" w14:textId="77777777" w:rsidR="007A4D7C" w:rsidRPr="007A4D7C" w:rsidRDefault="007A4D7C" w:rsidP="007A4D7C">
            <w:pPr>
              <w:spacing w:after="0" w:line="288" w:lineRule="auto"/>
              <w:jc w:val="both"/>
              <w:rPr>
                <w:rFonts w:ascii="Arial" w:hAnsi="Arial" w:cs="Arial"/>
                <w:b/>
                <w:color w:val="BC5E1E"/>
                <w:sz w:val="20"/>
                <w:szCs w:val="20"/>
              </w:rPr>
            </w:pPr>
            <w:r w:rsidRPr="007A4D7C">
              <w:rPr>
                <w:rFonts w:ascii="Arial" w:hAnsi="Arial" w:cs="Arial"/>
                <w:b/>
                <w:color w:val="BC5E1E"/>
                <w:sz w:val="20"/>
                <w:szCs w:val="20"/>
              </w:rPr>
              <w:t>Total Assets:</w:t>
            </w:r>
          </w:p>
        </w:tc>
        <w:tc>
          <w:tcPr>
            <w:tcW w:w="4110" w:type="dxa"/>
          </w:tcPr>
          <w:p w14:paraId="0FDE9255" w14:textId="33B656F1" w:rsidR="007A4D7C" w:rsidRPr="007A4D7C" w:rsidRDefault="007A4D7C" w:rsidP="00A920AD">
            <w:pPr>
              <w:spacing w:after="0" w:line="288" w:lineRule="auto"/>
              <w:jc w:val="both"/>
              <w:rPr>
                <w:rFonts w:ascii="Arial" w:hAnsi="Arial" w:cs="Arial"/>
                <w:color w:val="000000"/>
                <w:sz w:val="20"/>
                <w:szCs w:val="20"/>
              </w:rPr>
            </w:pPr>
            <w:r w:rsidRPr="006B0207">
              <w:rPr>
                <w:rFonts w:ascii="Arial" w:hAnsi="Arial" w:cs="Arial"/>
                <w:color w:val="000000"/>
                <w:sz w:val="20"/>
                <w:szCs w:val="20"/>
              </w:rPr>
              <w:t>$</w:t>
            </w:r>
            <w:r w:rsidR="00A920AD">
              <w:rPr>
                <w:rFonts w:ascii="Arial" w:hAnsi="Arial" w:cs="Arial"/>
                <w:color w:val="000000"/>
                <w:sz w:val="20"/>
                <w:szCs w:val="20"/>
              </w:rPr>
              <w:t>857</w:t>
            </w:r>
            <w:r w:rsidRPr="006B0207">
              <w:rPr>
                <w:rFonts w:ascii="Arial" w:hAnsi="Arial" w:cs="Arial"/>
                <w:color w:val="000000"/>
                <w:sz w:val="20"/>
                <w:szCs w:val="20"/>
              </w:rPr>
              <w:t xml:space="preserve"> mm¹</w:t>
            </w:r>
          </w:p>
        </w:tc>
      </w:tr>
      <w:tr w:rsidR="007A4D7C" w14:paraId="0FDE925A" w14:textId="77777777" w:rsidTr="00FF2A1B">
        <w:trPr>
          <w:trHeight w:val="340"/>
        </w:trPr>
        <w:tc>
          <w:tcPr>
            <w:tcW w:w="1809" w:type="dxa"/>
            <w:vMerge/>
          </w:tcPr>
          <w:p w14:paraId="0FDE9257" w14:textId="77777777" w:rsidR="007A4D7C" w:rsidRPr="007A4D7C" w:rsidRDefault="007A4D7C" w:rsidP="007A4D7C">
            <w:pPr>
              <w:spacing w:after="120" w:line="240" w:lineRule="auto"/>
              <w:rPr>
                <w:rFonts w:ascii="Arial" w:eastAsia="Times New Roman" w:hAnsi="Arial" w:cs="Times New Roman"/>
                <w:b/>
                <w:sz w:val="18"/>
                <w:szCs w:val="24"/>
                <w:lang w:eastAsia="en-US"/>
              </w:rPr>
            </w:pPr>
          </w:p>
        </w:tc>
        <w:tc>
          <w:tcPr>
            <w:tcW w:w="8364" w:type="dxa"/>
            <w:gridSpan w:val="3"/>
          </w:tcPr>
          <w:p w14:paraId="0FDE9258" w14:textId="2577BE37" w:rsidR="007A4D7C" w:rsidRPr="007A4D7C" w:rsidRDefault="007A4D7C" w:rsidP="007A4D7C">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 xml:space="preserve">1. </w:t>
            </w:r>
            <w:r w:rsidR="005666DC">
              <w:rPr>
                <w:rFonts w:ascii="Arial" w:hAnsi="Arial" w:cs="Arial"/>
                <w:color w:val="999999"/>
                <w:sz w:val="16"/>
                <w:szCs w:val="20"/>
              </w:rPr>
              <w:t>A</w:t>
            </w:r>
            <w:r w:rsidRPr="007A4D7C">
              <w:rPr>
                <w:rFonts w:ascii="Arial" w:hAnsi="Arial" w:cs="Arial"/>
                <w:color w:val="999999"/>
                <w:sz w:val="16"/>
                <w:szCs w:val="20"/>
              </w:rPr>
              <w:t xml:space="preserve">s at </w:t>
            </w:r>
            <w:r w:rsidR="00BB19FD">
              <w:rPr>
                <w:rFonts w:ascii="Arial" w:hAnsi="Arial" w:cs="Arial"/>
                <w:color w:val="999999"/>
                <w:sz w:val="16"/>
                <w:szCs w:val="20"/>
              </w:rPr>
              <w:t>31 March</w:t>
            </w:r>
            <w:r w:rsidR="005834BC">
              <w:rPr>
                <w:rFonts w:ascii="Arial" w:hAnsi="Arial" w:cs="Arial"/>
                <w:color w:val="999999"/>
                <w:sz w:val="16"/>
                <w:szCs w:val="20"/>
              </w:rPr>
              <w:t xml:space="preserve"> </w:t>
            </w:r>
            <w:r w:rsidR="006E30D1">
              <w:rPr>
                <w:rFonts w:ascii="Arial" w:hAnsi="Arial" w:cs="Arial"/>
                <w:color w:val="999999"/>
                <w:sz w:val="16"/>
                <w:szCs w:val="20"/>
              </w:rPr>
              <w:t>2017</w:t>
            </w:r>
            <w:r w:rsidR="00464BE6">
              <w:rPr>
                <w:rFonts w:ascii="Arial" w:hAnsi="Arial" w:cs="Arial"/>
                <w:color w:val="999999"/>
                <w:sz w:val="16"/>
                <w:szCs w:val="20"/>
              </w:rPr>
              <w:t xml:space="preserve">. Source: </w:t>
            </w:r>
            <w:r w:rsidRPr="007A4D7C">
              <w:rPr>
                <w:rFonts w:ascii="Arial" w:hAnsi="Arial" w:cs="Arial"/>
                <w:color w:val="999999"/>
                <w:sz w:val="16"/>
                <w:szCs w:val="20"/>
              </w:rPr>
              <w:t>BHM's administrator, Northern Trust.</w:t>
            </w:r>
          </w:p>
          <w:p w14:paraId="0FDE9259" w14:textId="77777777" w:rsidR="007A4D7C" w:rsidRPr="007A4D7C" w:rsidRDefault="007A4D7C" w:rsidP="007A4D7C">
            <w:pPr>
              <w:spacing w:before="80" w:after="0" w:line="288" w:lineRule="auto"/>
              <w:jc w:val="both"/>
              <w:rPr>
                <w:rFonts w:ascii="Arial" w:hAnsi="Arial" w:cs="Arial"/>
                <w:color w:val="999999"/>
                <w:sz w:val="16"/>
                <w:szCs w:val="20"/>
              </w:rPr>
            </w:pPr>
          </w:p>
        </w:tc>
      </w:tr>
      <w:tr w:rsidR="007A4D7C" w14:paraId="0FDE925D" w14:textId="77777777" w:rsidTr="00FF2A1B">
        <w:trPr>
          <w:trHeight w:val="63"/>
        </w:trPr>
        <w:tc>
          <w:tcPr>
            <w:tcW w:w="1809" w:type="dxa"/>
            <w:vMerge w:val="restart"/>
          </w:tcPr>
          <w:p w14:paraId="0FDE925B" w14:textId="77777777" w:rsidR="007A4D7C" w:rsidRPr="007A4D7C" w:rsidRDefault="007A4D7C" w:rsidP="007A4D7C">
            <w:pPr>
              <w:spacing w:after="0" w:line="288" w:lineRule="auto"/>
              <w:jc w:val="both"/>
              <w:rPr>
                <w:rFonts w:ascii="Arial" w:hAnsi="Arial" w:cs="Arial"/>
                <w:b/>
                <w:color w:val="BC5E1E"/>
                <w:sz w:val="20"/>
                <w:szCs w:val="20"/>
              </w:rPr>
            </w:pPr>
            <w:r w:rsidRPr="007A4D7C">
              <w:rPr>
                <w:rFonts w:ascii="Arial" w:hAnsi="Arial" w:cs="Arial"/>
                <w:b/>
                <w:color w:val="BC5E1E"/>
                <w:sz w:val="20"/>
                <w:szCs w:val="20"/>
              </w:rPr>
              <w:t>Summary Information</w:t>
            </w:r>
          </w:p>
        </w:tc>
        <w:tc>
          <w:tcPr>
            <w:tcW w:w="8364" w:type="dxa"/>
            <w:gridSpan w:val="3"/>
          </w:tcPr>
          <w:p w14:paraId="0FDE925C" w14:textId="719A2047" w:rsidR="007A4D7C" w:rsidRPr="007A4D7C" w:rsidRDefault="007A4D7C" w:rsidP="00BB19FD">
            <w:pPr>
              <w:spacing w:after="0" w:line="288" w:lineRule="auto"/>
              <w:jc w:val="both"/>
              <w:rPr>
                <w:rFonts w:ascii="Arial" w:hAnsi="Arial" w:cs="Arial"/>
                <w:b/>
                <w:color w:val="BC5E1E"/>
                <w:sz w:val="20"/>
                <w:szCs w:val="20"/>
              </w:rPr>
            </w:pPr>
            <w:r w:rsidRPr="007A4D7C">
              <w:rPr>
                <w:rFonts w:ascii="Arial" w:hAnsi="Arial" w:cs="Arial"/>
                <w:b/>
                <w:color w:val="BC5E1E"/>
                <w:sz w:val="20"/>
                <w:szCs w:val="20"/>
              </w:rPr>
              <w:t>BH Macro Limited NAV per Share (</w:t>
            </w:r>
            <w:r w:rsidR="006643C5">
              <w:rPr>
                <w:rFonts w:ascii="Arial" w:hAnsi="Arial" w:cs="Arial"/>
                <w:b/>
                <w:color w:val="BC5E1E"/>
                <w:sz w:val="20"/>
                <w:szCs w:val="20"/>
              </w:rPr>
              <w:t>Calculated</w:t>
            </w:r>
            <w:r w:rsidR="00E724B6">
              <w:rPr>
                <w:rFonts w:ascii="Arial" w:hAnsi="Arial" w:cs="Arial"/>
                <w:b/>
                <w:color w:val="BC5E1E"/>
                <w:sz w:val="20"/>
                <w:szCs w:val="20"/>
              </w:rPr>
              <w:t xml:space="preserve"> as</w:t>
            </w:r>
            <w:r w:rsidRPr="007A4D7C">
              <w:rPr>
                <w:rFonts w:ascii="Arial" w:hAnsi="Arial" w:cs="Arial"/>
                <w:b/>
                <w:color w:val="BC5E1E"/>
                <w:sz w:val="20"/>
                <w:szCs w:val="20"/>
              </w:rPr>
              <w:t xml:space="preserve"> at</w:t>
            </w:r>
            <w:r w:rsidR="006E30D1">
              <w:rPr>
                <w:rFonts w:ascii="Arial" w:hAnsi="Arial" w:cs="Arial"/>
                <w:b/>
                <w:color w:val="BC5E1E"/>
                <w:sz w:val="20"/>
                <w:szCs w:val="20"/>
              </w:rPr>
              <w:t xml:space="preserve"> </w:t>
            </w:r>
            <w:r w:rsidR="00BB19FD">
              <w:rPr>
                <w:rFonts w:ascii="Arial" w:hAnsi="Arial" w:cs="Arial"/>
                <w:b/>
                <w:color w:val="BC5E1E"/>
                <w:sz w:val="20"/>
                <w:szCs w:val="20"/>
              </w:rPr>
              <w:t>31 March</w:t>
            </w:r>
            <w:r w:rsidR="005834BC">
              <w:rPr>
                <w:rFonts w:ascii="Arial" w:hAnsi="Arial" w:cs="Arial"/>
                <w:b/>
                <w:color w:val="BC5E1E"/>
                <w:sz w:val="20"/>
                <w:szCs w:val="20"/>
              </w:rPr>
              <w:t xml:space="preserve"> </w:t>
            </w:r>
            <w:r w:rsidR="006E30D1">
              <w:rPr>
                <w:rFonts w:ascii="Arial" w:hAnsi="Arial" w:cs="Arial"/>
                <w:b/>
                <w:color w:val="BC5E1E"/>
                <w:sz w:val="20"/>
                <w:szCs w:val="20"/>
              </w:rPr>
              <w:t>2017</w:t>
            </w:r>
            <w:r w:rsidRPr="007A4D7C">
              <w:rPr>
                <w:rFonts w:ascii="Arial" w:hAnsi="Arial" w:cs="Arial"/>
                <w:b/>
                <w:color w:val="BC5E1E"/>
                <w:sz w:val="20"/>
                <w:szCs w:val="20"/>
              </w:rPr>
              <w:t>)</w:t>
            </w:r>
          </w:p>
        </w:tc>
      </w:tr>
      <w:tr w:rsidR="007A4D7C" w14:paraId="0FDE9270" w14:textId="77777777" w:rsidTr="00FF2A1B">
        <w:trPr>
          <w:trHeight w:val="57"/>
        </w:trPr>
        <w:tc>
          <w:tcPr>
            <w:tcW w:w="1809" w:type="dxa"/>
            <w:vMerge/>
          </w:tcPr>
          <w:p w14:paraId="0FDE925E"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tbl>
            <w:tblPr>
              <w:tblW w:w="3800" w:type="dxa"/>
              <w:tblLayout w:type="fixed"/>
              <w:tblCellMar>
                <w:top w:w="57" w:type="dxa"/>
                <w:left w:w="28" w:type="dxa"/>
                <w:right w:w="85" w:type="dxa"/>
              </w:tblCellMar>
              <w:tblLook w:val="04A0" w:firstRow="1" w:lastRow="0" w:firstColumn="1" w:lastColumn="0" w:noHBand="0" w:noVBand="1"/>
            </w:tblPr>
            <w:tblGrid>
              <w:gridCol w:w="1120"/>
              <w:gridCol w:w="1340"/>
              <w:gridCol w:w="1340"/>
            </w:tblGrid>
            <w:tr w:rsidR="007A4D7C" w14:paraId="0FDE9262" w14:textId="77777777" w:rsidTr="007A4D7C">
              <w:trPr>
                <w:trHeight w:val="225"/>
              </w:trPr>
              <w:tc>
                <w:tcPr>
                  <w:tcW w:w="112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5F" w14:textId="77777777" w:rsidR="007A4D7C" w:rsidRDefault="007A4D7C" w:rsidP="007A4D7C">
                  <w:pPr>
                    <w:spacing w:after="0"/>
                    <w:jc w:val="center"/>
                    <w:rPr>
                      <w:rFonts w:ascii="Arial" w:hAnsi="Arial" w:cs="Arial"/>
                      <w:b/>
                      <w:bCs/>
                      <w:color w:val="000000"/>
                      <w:sz w:val="13"/>
                      <w:szCs w:val="13"/>
                    </w:rPr>
                  </w:pPr>
                  <w:bookmarkStart w:id="2" w:name="RANGE!Q10"/>
                  <w:r>
                    <w:rPr>
                      <w:rFonts w:ascii="Arial" w:hAnsi="Arial" w:cs="Arial"/>
                      <w:b/>
                      <w:bCs/>
                      <w:color w:val="000000"/>
                      <w:sz w:val="13"/>
                      <w:szCs w:val="13"/>
                    </w:rPr>
                    <w:t>Share Class</w:t>
                  </w:r>
                  <w:bookmarkEnd w:id="2"/>
                </w:p>
              </w:tc>
              <w:tc>
                <w:tcPr>
                  <w:tcW w:w="1340" w:type="dxa"/>
                  <w:tcBorders>
                    <w:top w:val="single" w:sz="4" w:space="0" w:color="auto"/>
                    <w:left w:val="nil"/>
                    <w:bottom w:val="single" w:sz="4" w:space="0" w:color="auto"/>
                    <w:right w:val="single" w:sz="4" w:space="0" w:color="auto"/>
                  </w:tcBorders>
                  <w:shd w:val="clear" w:color="000000" w:fill="EFEFEF"/>
                  <w:noWrap/>
                  <w:vAlign w:val="center"/>
                  <w:hideMark/>
                </w:tcPr>
                <w:p w14:paraId="0FDE926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NAV (USD mm)</w:t>
                  </w:r>
                </w:p>
              </w:tc>
              <w:tc>
                <w:tcPr>
                  <w:tcW w:w="1340" w:type="dxa"/>
                  <w:tcBorders>
                    <w:top w:val="single" w:sz="4" w:space="0" w:color="auto"/>
                    <w:left w:val="nil"/>
                    <w:bottom w:val="single" w:sz="4" w:space="0" w:color="auto"/>
                    <w:right w:val="single" w:sz="4" w:space="0" w:color="auto"/>
                  </w:tcBorders>
                  <w:shd w:val="clear" w:color="000000" w:fill="EFEFEF"/>
                  <w:noWrap/>
                  <w:vAlign w:val="center"/>
                  <w:hideMark/>
                </w:tcPr>
                <w:p w14:paraId="0FDE926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NAV per Share</w:t>
                  </w:r>
                </w:p>
              </w:tc>
            </w:tr>
            <w:tr w:rsidR="007A4D7C" w14:paraId="0FDE9266" w14:textId="77777777" w:rsidTr="0096482A">
              <w:trPr>
                <w:trHeight w:val="225"/>
              </w:trPr>
              <w:tc>
                <w:tcPr>
                  <w:tcW w:w="1120" w:type="dxa"/>
                  <w:tcBorders>
                    <w:top w:val="nil"/>
                    <w:left w:val="single" w:sz="4" w:space="0" w:color="auto"/>
                    <w:bottom w:val="single" w:sz="4" w:space="0" w:color="auto"/>
                    <w:right w:val="single" w:sz="4" w:space="0" w:color="auto"/>
                  </w:tcBorders>
                  <w:shd w:val="clear" w:color="000000" w:fill="EFEFEF"/>
                  <w:noWrap/>
                  <w:vAlign w:val="center"/>
                  <w:hideMark/>
                </w:tcPr>
                <w:p w14:paraId="0FDE9263"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USD Shares</w:t>
                  </w:r>
                </w:p>
              </w:tc>
              <w:tc>
                <w:tcPr>
                  <w:tcW w:w="1340" w:type="dxa"/>
                  <w:tcBorders>
                    <w:top w:val="nil"/>
                    <w:left w:val="nil"/>
                    <w:bottom w:val="single" w:sz="4" w:space="0" w:color="auto"/>
                    <w:right w:val="single" w:sz="4" w:space="0" w:color="auto"/>
                  </w:tcBorders>
                  <w:shd w:val="clear" w:color="auto" w:fill="auto"/>
                  <w:noWrap/>
                  <w:vAlign w:val="center"/>
                </w:tcPr>
                <w:p w14:paraId="0FDE9264" w14:textId="64620B34" w:rsidR="007A4D7C" w:rsidRPr="00A920AD" w:rsidRDefault="00A920AD" w:rsidP="00F71838">
                  <w:pPr>
                    <w:spacing w:after="0"/>
                    <w:jc w:val="right"/>
                    <w:rPr>
                      <w:rFonts w:ascii="Arial" w:hAnsi="Arial" w:cs="Arial"/>
                      <w:color w:val="000000"/>
                      <w:sz w:val="13"/>
                      <w:szCs w:val="13"/>
                    </w:rPr>
                  </w:pPr>
                  <w:r w:rsidRPr="00A920AD">
                    <w:rPr>
                      <w:rFonts w:ascii="Arial" w:hAnsi="Arial" w:cs="Arial"/>
                      <w:color w:val="000000"/>
                      <w:sz w:val="13"/>
                      <w:szCs w:val="13"/>
                    </w:rPr>
                    <w:t>210.3</w:t>
                  </w:r>
                </w:p>
              </w:tc>
              <w:tc>
                <w:tcPr>
                  <w:tcW w:w="1340" w:type="dxa"/>
                  <w:tcBorders>
                    <w:top w:val="nil"/>
                    <w:left w:val="nil"/>
                    <w:bottom w:val="single" w:sz="4" w:space="0" w:color="auto"/>
                    <w:right w:val="single" w:sz="4" w:space="0" w:color="auto"/>
                  </w:tcBorders>
                  <w:shd w:val="clear" w:color="auto" w:fill="auto"/>
                  <w:noWrap/>
                  <w:vAlign w:val="center"/>
                  <w:hideMark/>
                </w:tcPr>
                <w:p w14:paraId="0FDE9265" w14:textId="2B92C6BA" w:rsidR="007A4D7C" w:rsidRPr="00A920AD" w:rsidRDefault="00841024" w:rsidP="00A920AD">
                  <w:pPr>
                    <w:spacing w:after="0"/>
                    <w:jc w:val="right"/>
                    <w:rPr>
                      <w:rFonts w:ascii="Arial" w:hAnsi="Arial" w:cs="Arial"/>
                      <w:color w:val="000000"/>
                      <w:sz w:val="13"/>
                      <w:szCs w:val="13"/>
                    </w:rPr>
                  </w:pPr>
                  <w:r w:rsidRPr="00A920AD">
                    <w:rPr>
                      <w:rFonts w:ascii="Arial" w:hAnsi="Arial" w:cs="Arial"/>
                      <w:color w:val="000000"/>
                      <w:sz w:val="13"/>
                      <w:szCs w:val="13"/>
                    </w:rPr>
                    <w:t>$</w:t>
                  </w:r>
                  <w:r w:rsidR="00A920AD" w:rsidRPr="00A920AD">
                    <w:rPr>
                      <w:rFonts w:ascii="Arial" w:hAnsi="Arial" w:cs="Arial"/>
                      <w:color w:val="000000"/>
                      <w:sz w:val="13"/>
                      <w:szCs w:val="13"/>
                    </w:rPr>
                    <w:t>21.15</w:t>
                  </w:r>
                </w:p>
              </w:tc>
            </w:tr>
            <w:tr w:rsidR="007A4D7C" w14:paraId="0FDE926A" w14:textId="77777777" w:rsidTr="0096482A">
              <w:trPr>
                <w:trHeight w:val="225"/>
              </w:trPr>
              <w:tc>
                <w:tcPr>
                  <w:tcW w:w="1120" w:type="dxa"/>
                  <w:tcBorders>
                    <w:top w:val="nil"/>
                    <w:left w:val="single" w:sz="4" w:space="0" w:color="auto"/>
                    <w:bottom w:val="single" w:sz="4" w:space="0" w:color="auto"/>
                    <w:right w:val="single" w:sz="4" w:space="0" w:color="auto"/>
                  </w:tcBorders>
                  <w:shd w:val="clear" w:color="000000" w:fill="EFEFEF"/>
                  <w:noWrap/>
                  <w:vAlign w:val="center"/>
                  <w:hideMark/>
                </w:tcPr>
                <w:p w14:paraId="0FDE9267"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EUR Shares</w:t>
                  </w:r>
                </w:p>
              </w:tc>
              <w:tc>
                <w:tcPr>
                  <w:tcW w:w="1340" w:type="dxa"/>
                  <w:tcBorders>
                    <w:top w:val="nil"/>
                    <w:left w:val="nil"/>
                    <w:bottom w:val="single" w:sz="4" w:space="0" w:color="auto"/>
                    <w:right w:val="single" w:sz="4" w:space="0" w:color="auto"/>
                  </w:tcBorders>
                  <w:shd w:val="clear" w:color="auto" w:fill="auto"/>
                  <w:noWrap/>
                  <w:vAlign w:val="center"/>
                </w:tcPr>
                <w:p w14:paraId="0FDE9268" w14:textId="2505FB54" w:rsidR="007A4D7C" w:rsidRPr="00A920AD" w:rsidRDefault="00A920AD" w:rsidP="00150045">
                  <w:pPr>
                    <w:spacing w:after="0"/>
                    <w:jc w:val="right"/>
                    <w:rPr>
                      <w:rFonts w:ascii="Arial" w:hAnsi="Arial" w:cs="Arial"/>
                      <w:color w:val="000000"/>
                      <w:sz w:val="13"/>
                      <w:szCs w:val="13"/>
                    </w:rPr>
                  </w:pPr>
                  <w:r w:rsidRPr="00A920AD">
                    <w:rPr>
                      <w:rFonts w:ascii="Arial" w:hAnsi="Arial" w:cs="Arial"/>
                      <w:color w:val="000000"/>
                      <w:sz w:val="13"/>
                      <w:szCs w:val="13"/>
                    </w:rPr>
                    <w:t>33.5</w:t>
                  </w:r>
                </w:p>
              </w:tc>
              <w:tc>
                <w:tcPr>
                  <w:tcW w:w="1340" w:type="dxa"/>
                  <w:tcBorders>
                    <w:top w:val="nil"/>
                    <w:left w:val="nil"/>
                    <w:bottom w:val="single" w:sz="4" w:space="0" w:color="auto"/>
                    <w:right w:val="single" w:sz="4" w:space="0" w:color="auto"/>
                  </w:tcBorders>
                  <w:shd w:val="clear" w:color="auto" w:fill="auto"/>
                  <w:noWrap/>
                  <w:vAlign w:val="center"/>
                  <w:hideMark/>
                </w:tcPr>
                <w:p w14:paraId="0FDE9269" w14:textId="527C55C6" w:rsidR="007A4D7C" w:rsidRPr="00A920AD" w:rsidRDefault="007A4D7C" w:rsidP="00A920AD">
                  <w:pPr>
                    <w:spacing w:after="0"/>
                    <w:jc w:val="right"/>
                    <w:rPr>
                      <w:rFonts w:ascii="Arial" w:hAnsi="Arial" w:cs="Arial"/>
                      <w:color w:val="000000"/>
                      <w:sz w:val="13"/>
                      <w:szCs w:val="13"/>
                    </w:rPr>
                  </w:pPr>
                  <w:r w:rsidRPr="00A920AD">
                    <w:rPr>
                      <w:rFonts w:ascii="Arial" w:hAnsi="Arial" w:cs="Arial"/>
                      <w:color w:val="000000"/>
                      <w:sz w:val="13"/>
                      <w:szCs w:val="13"/>
                    </w:rPr>
                    <w:t>€</w:t>
                  </w:r>
                  <w:r w:rsidR="002C35BE" w:rsidRPr="00A920AD">
                    <w:rPr>
                      <w:rFonts w:ascii="Arial" w:hAnsi="Arial" w:cs="Arial"/>
                      <w:color w:val="000000"/>
                      <w:sz w:val="13"/>
                      <w:szCs w:val="13"/>
                    </w:rPr>
                    <w:t>21.</w:t>
                  </w:r>
                  <w:r w:rsidR="00A920AD" w:rsidRPr="00A920AD">
                    <w:rPr>
                      <w:rFonts w:ascii="Arial" w:hAnsi="Arial" w:cs="Arial"/>
                      <w:color w:val="000000"/>
                      <w:sz w:val="13"/>
                      <w:szCs w:val="13"/>
                    </w:rPr>
                    <w:t>25</w:t>
                  </w:r>
                </w:p>
              </w:tc>
            </w:tr>
            <w:tr w:rsidR="007A4D7C" w14:paraId="0FDE926E" w14:textId="77777777" w:rsidTr="0096482A">
              <w:trPr>
                <w:trHeight w:val="225"/>
              </w:trPr>
              <w:tc>
                <w:tcPr>
                  <w:tcW w:w="1120" w:type="dxa"/>
                  <w:tcBorders>
                    <w:top w:val="nil"/>
                    <w:left w:val="single" w:sz="4" w:space="0" w:color="auto"/>
                    <w:bottom w:val="single" w:sz="4" w:space="0" w:color="auto"/>
                    <w:right w:val="single" w:sz="4" w:space="0" w:color="auto"/>
                  </w:tcBorders>
                  <w:shd w:val="clear" w:color="000000" w:fill="EFEFEF"/>
                  <w:noWrap/>
                  <w:vAlign w:val="center"/>
                  <w:hideMark/>
                </w:tcPr>
                <w:p w14:paraId="0FDE926B"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GBP Shares</w:t>
                  </w:r>
                </w:p>
              </w:tc>
              <w:tc>
                <w:tcPr>
                  <w:tcW w:w="1340" w:type="dxa"/>
                  <w:tcBorders>
                    <w:top w:val="nil"/>
                    <w:left w:val="nil"/>
                    <w:bottom w:val="single" w:sz="4" w:space="0" w:color="auto"/>
                    <w:right w:val="single" w:sz="4" w:space="0" w:color="auto"/>
                  </w:tcBorders>
                  <w:shd w:val="clear" w:color="auto" w:fill="auto"/>
                  <w:noWrap/>
                  <w:vAlign w:val="center"/>
                </w:tcPr>
                <w:p w14:paraId="0FDE926C" w14:textId="29EA1F56" w:rsidR="0043685C" w:rsidRPr="00A920AD" w:rsidRDefault="00A920AD" w:rsidP="003868E7">
                  <w:pPr>
                    <w:spacing w:after="0"/>
                    <w:jc w:val="right"/>
                    <w:rPr>
                      <w:rFonts w:ascii="Arial" w:hAnsi="Arial" w:cs="Arial"/>
                      <w:color w:val="000000"/>
                      <w:sz w:val="13"/>
                      <w:szCs w:val="13"/>
                    </w:rPr>
                  </w:pPr>
                  <w:r w:rsidRPr="00A920AD">
                    <w:rPr>
                      <w:rFonts w:ascii="Arial" w:hAnsi="Arial" w:cs="Arial"/>
                      <w:color w:val="000000"/>
                      <w:sz w:val="13"/>
                      <w:szCs w:val="13"/>
                    </w:rPr>
                    <w:t>612.7</w:t>
                  </w:r>
                </w:p>
              </w:tc>
              <w:tc>
                <w:tcPr>
                  <w:tcW w:w="1340" w:type="dxa"/>
                  <w:tcBorders>
                    <w:top w:val="nil"/>
                    <w:left w:val="nil"/>
                    <w:bottom w:val="single" w:sz="4" w:space="0" w:color="auto"/>
                    <w:right w:val="single" w:sz="4" w:space="0" w:color="auto"/>
                  </w:tcBorders>
                  <w:shd w:val="clear" w:color="auto" w:fill="auto"/>
                  <w:noWrap/>
                  <w:vAlign w:val="center"/>
                  <w:hideMark/>
                </w:tcPr>
                <w:p w14:paraId="0FDE926D" w14:textId="76986574" w:rsidR="007A4D7C" w:rsidRPr="00A920AD" w:rsidRDefault="007A4D7C" w:rsidP="00A920AD">
                  <w:pPr>
                    <w:spacing w:after="0"/>
                    <w:jc w:val="right"/>
                    <w:rPr>
                      <w:rFonts w:ascii="Arial" w:hAnsi="Arial" w:cs="Arial"/>
                      <w:color w:val="000000"/>
                      <w:sz w:val="13"/>
                      <w:szCs w:val="13"/>
                    </w:rPr>
                  </w:pPr>
                  <w:r w:rsidRPr="00A920AD">
                    <w:rPr>
                      <w:rFonts w:ascii="Arial" w:hAnsi="Arial" w:cs="Arial"/>
                      <w:color w:val="000000"/>
                      <w:sz w:val="13"/>
                      <w:szCs w:val="13"/>
                    </w:rPr>
                    <w:t>£</w:t>
                  </w:r>
                  <w:r w:rsidR="00A920AD" w:rsidRPr="00A920AD">
                    <w:rPr>
                      <w:rFonts w:ascii="Arial" w:hAnsi="Arial" w:cs="Arial"/>
                      <w:color w:val="000000"/>
                      <w:sz w:val="13"/>
                      <w:szCs w:val="13"/>
                    </w:rPr>
                    <w:t>21.84</w:t>
                  </w:r>
                </w:p>
              </w:tc>
            </w:tr>
          </w:tbl>
          <w:p w14:paraId="0FDE926F" w14:textId="77777777" w:rsidR="007A4D7C" w:rsidRDefault="007A4D7C" w:rsidP="007A4D7C">
            <w:pPr>
              <w:spacing w:after="120" w:line="288" w:lineRule="auto"/>
              <w:jc w:val="both"/>
              <w:rPr>
                <w:rFonts w:ascii="Arial" w:hAnsi="Arial" w:cs="Arial"/>
                <w:sz w:val="20"/>
                <w:szCs w:val="20"/>
              </w:rPr>
            </w:pPr>
          </w:p>
        </w:tc>
      </w:tr>
      <w:tr w:rsidR="007A4D7C" w14:paraId="0FDE9273" w14:textId="77777777" w:rsidTr="00FF2A1B">
        <w:trPr>
          <w:trHeight w:val="57"/>
        </w:trPr>
        <w:tc>
          <w:tcPr>
            <w:tcW w:w="1809" w:type="dxa"/>
            <w:vMerge/>
          </w:tcPr>
          <w:p w14:paraId="0FDE9271"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p w14:paraId="0FDE9272" w14:textId="77777777" w:rsidR="007A4D7C" w:rsidRPr="007A4D7C" w:rsidRDefault="007A4D7C" w:rsidP="007A4D7C">
            <w:pPr>
              <w:spacing w:after="0" w:line="288" w:lineRule="auto"/>
              <w:jc w:val="both"/>
              <w:rPr>
                <w:rFonts w:ascii="Arial" w:hAnsi="Arial" w:cs="Arial"/>
                <w:b/>
                <w:color w:val="BC5E1E"/>
                <w:sz w:val="20"/>
                <w:szCs w:val="20"/>
              </w:rPr>
            </w:pPr>
            <w:r w:rsidRPr="005157B1">
              <w:rPr>
                <w:rFonts w:ascii="Arial" w:hAnsi="Arial" w:cs="Arial"/>
                <w:b/>
                <w:color w:val="BC5E1E"/>
                <w:sz w:val="20"/>
                <w:szCs w:val="20"/>
              </w:rPr>
              <w:t xml:space="preserve">BH Macro </w:t>
            </w:r>
            <w:r w:rsidRPr="000B1259">
              <w:rPr>
                <w:rFonts w:ascii="Arial" w:hAnsi="Arial" w:cs="Arial"/>
                <w:b/>
                <w:color w:val="BC5E1E"/>
                <w:sz w:val="20"/>
                <w:szCs w:val="20"/>
              </w:rPr>
              <w:t>Limited NAV per Share % Monthly Change</w:t>
            </w:r>
          </w:p>
        </w:tc>
      </w:tr>
      <w:tr w:rsidR="007A4D7C" w14:paraId="0FDE930C" w14:textId="77777777" w:rsidTr="00FF2A1B">
        <w:trPr>
          <w:trHeight w:val="57"/>
        </w:trPr>
        <w:tc>
          <w:tcPr>
            <w:tcW w:w="1809" w:type="dxa"/>
            <w:vMerge/>
          </w:tcPr>
          <w:p w14:paraId="0FDE9274"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tbl>
            <w:tblPr>
              <w:tblW w:w="7100" w:type="dxa"/>
              <w:tblLayout w:type="fixed"/>
              <w:tblCellMar>
                <w:top w:w="57" w:type="dxa"/>
                <w:left w:w="28" w:type="dxa"/>
                <w:right w:w="85" w:type="dxa"/>
              </w:tblCellMar>
              <w:tblLook w:val="04A0" w:firstRow="1" w:lastRow="0" w:firstColumn="1" w:lastColumn="0" w:noHBand="0" w:noVBand="1"/>
            </w:tblPr>
            <w:tblGrid>
              <w:gridCol w:w="600"/>
              <w:gridCol w:w="500"/>
              <w:gridCol w:w="500"/>
              <w:gridCol w:w="500"/>
              <w:gridCol w:w="500"/>
              <w:gridCol w:w="500"/>
              <w:gridCol w:w="500"/>
              <w:gridCol w:w="500"/>
              <w:gridCol w:w="500"/>
              <w:gridCol w:w="500"/>
              <w:gridCol w:w="500"/>
              <w:gridCol w:w="500"/>
              <w:gridCol w:w="500"/>
              <w:gridCol w:w="500"/>
            </w:tblGrid>
            <w:tr w:rsidR="007A4D7C" w14:paraId="0FDE9283" w14:textId="77777777" w:rsidTr="007A4D7C">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75" w14:textId="77777777" w:rsidR="007A4D7C" w:rsidRDefault="007A4D7C" w:rsidP="007A4D7C">
                  <w:pPr>
                    <w:spacing w:after="0"/>
                    <w:jc w:val="center"/>
                    <w:rPr>
                      <w:rFonts w:ascii="Arial" w:hAnsi="Arial" w:cs="Arial"/>
                      <w:b/>
                      <w:bCs/>
                      <w:color w:val="000000"/>
                      <w:sz w:val="13"/>
                      <w:szCs w:val="13"/>
                    </w:rPr>
                  </w:pPr>
                  <w:bookmarkStart w:id="3" w:name="RANGE!AM12"/>
                  <w:r>
                    <w:rPr>
                      <w:rFonts w:ascii="Arial" w:hAnsi="Arial" w:cs="Arial"/>
                      <w:b/>
                      <w:bCs/>
                      <w:color w:val="000000"/>
                      <w:sz w:val="13"/>
                      <w:szCs w:val="13"/>
                    </w:rPr>
                    <w:t>USD</w:t>
                  </w:r>
                  <w:bookmarkEnd w:id="3"/>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6"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Jan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7"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Feb</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8"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Mar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9"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Apr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A"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May</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B"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Jun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C"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Jul</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D"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Aug</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E"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Sep</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F"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Oct</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8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Nov</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8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Dec</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82"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YTD</w:t>
                  </w:r>
                </w:p>
              </w:tc>
            </w:tr>
            <w:tr w:rsidR="007A4D7C" w14:paraId="0FDE9292"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84" w14:textId="77777777" w:rsidR="007A4D7C" w:rsidRDefault="007A4D7C" w:rsidP="007A4D7C">
                  <w:pPr>
                    <w:spacing w:after="0"/>
                    <w:jc w:val="center"/>
                    <w:rPr>
                      <w:rFonts w:ascii="Arial" w:hAnsi="Arial" w:cs="Arial"/>
                      <w:b/>
                      <w:bCs/>
                      <w:color w:val="000000"/>
                      <w:sz w:val="13"/>
                      <w:szCs w:val="13"/>
                    </w:rPr>
                  </w:pPr>
                  <w:bookmarkStart w:id="4" w:name="RANGE!AM13"/>
                  <w:r>
                    <w:rPr>
                      <w:rFonts w:ascii="Arial" w:hAnsi="Arial" w:cs="Arial"/>
                      <w:b/>
                      <w:bCs/>
                      <w:color w:val="000000"/>
                      <w:sz w:val="13"/>
                      <w:szCs w:val="13"/>
                    </w:rPr>
                    <w:t>2007</w:t>
                  </w:r>
                  <w:bookmarkEnd w:id="4"/>
                </w:p>
              </w:tc>
              <w:tc>
                <w:tcPr>
                  <w:tcW w:w="500" w:type="dxa"/>
                  <w:tcBorders>
                    <w:top w:val="nil"/>
                    <w:left w:val="nil"/>
                    <w:bottom w:val="single" w:sz="4" w:space="0" w:color="auto"/>
                    <w:right w:val="single" w:sz="4" w:space="0" w:color="auto"/>
                  </w:tcBorders>
                  <w:shd w:val="clear" w:color="auto" w:fill="auto"/>
                  <w:noWrap/>
                  <w:vAlign w:val="center"/>
                  <w:hideMark/>
                </w:tcPr>
                <w:p w14:paraId="0FDE9285" w14:textId="77777777" w:rsidR="007A4D7C" w:rsidRDefault="007A4D7C" w:rsidP="007A4D7C">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286" w14:textId="77777777" w:rsidR="007A4D7C" w:rsidRDefault="007A4D7C" w:rsidP="007A4D7C">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28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0.10</w:t>
                  </w:r>
                </w:p>
              </w:tc>
              <w:tc>
                <w:tcPr>
                  <w:tcW w:w="500" w:type="dxa"/>
                  <w:tcBorders>
                    <w:top w:val="nil"/>
                    <w:left w:val="nil"/>
                    <w:bottom w:val="single" w:sz="4" w:space="0" w:color="auto"/>
                    <w:right w:val="single" w:sz="4" w:space="0" w:color="auto"/>
                  </w:tcBorders>
                  <w:shd w:val="clear" w:color="auto" w:fill="auto"/>
                  <w:noWrap/>
                  <w:vAlign w:val="center"/>
                  <w:hideMark/>
                </w:tcPr>
                <w:p w14:paraId="0FDE928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nil"/>
                    <w:left w:val="nil"/>
                    <w:bottom w:val="single" w:sz="4" w:space="0" w:color="auto"/>
                    <w:right w:val="single" w:sz="4" w:space="0" w:color="auto"/>
                  </w:tcBorders>
                  <w:shd w:val="clear" w:color="auto" w:fill="auto"/>
                  <w:noWrap/>
                  <w:vAlign w:val="center"/>
                  <w:hideMark/>
                </w:tcPr>
                <w:p w14:paraId="0FDE928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0.15</w:t>
                  </w:r>
                </w:p>
              </w:tc>
              <w:tc>
                <w:tcPr>
                  <w:tcW w:w="500" w:type="dxa"/>
                  <w:tcBorders>
                    <w:top w:val="nil"/>
                    <w:left w:val="nil"/>
                    <w:bottom w:val="single" w:sz="4" w:space="0" w:color="auto"/>
                    <w:right w:val="single" w:sz="4" w:space="0" w:color="auto"/>
                  </w:tcBorders>
                  <w:shd w:val="clear" w:color="auto" w:fill="auto"/>
                  <w:noWrap/>
                  <w:vAlign w:val="center"/>
                  <w:hideMark/>
                </w:tcPr>
                <w:p w14:paraId="0FDE928A" w14:textId="77777777" w:rsidR="007A4D7C" w:rsidRDefault="007A4D7C" w:rsidP="007A4D7C">
                  <w:pPr>
                    <w:spacing w:after="0"/>
                    <w:jc w:val="right"/>
                    <w:rPr>
                      <w:rFonts w:ascii="Arial" w:hAnsi="Arial" w:cs="Arial"/>
                      <w:color w:val="000000"/>
                      <w:sz w:val="13"/>
                      <w:szCs w:val="13"/>
                    </w:rPr>
                  </w:pPr>
                  <w:bookmarkStart w:id="5" w:name="RANGE!AS13"/>
                  <w:r>
                    <w:rPr>
                      <w:rFonts w:ascii="Arial" w:hAnsi="Arial" w:cs="Arial"/>
                      <w:color w:val="000000"/>
                      <w:sz w:val="13"/>
                      <w:szCs w:val="13"/>
                    </w:rPr>
                    <w:t>2.29</w:t>
                  </w:r>
                  <w:bookmarkEnd w:id="5"/>
                </w:p>
              </w:tc>
              <w:tc>
                <w:tcPr>
                  <w:tcW w:w="500" w:type="dxa"/>
                  <w:tcBorders>
                    <w:top w:val="nil"/>
                    <w:left w:val="nil"/>
                    <w:bottom w:val="single" w:sz="4" w:space="0" w:color="auto"/>
                    <w:right w:val="single" w:sz="4" w:space="0" w:color="auto"/>
                  </w:tcBorders>
                  <w:shd w:val="clear" w:color="auto" w:fill="auto"/>
                  <w:noWrap/>
                  <w:vAlign w:val="center"/>
                  <w:hideMark/>
                </w:tcPr>
                <w:p w14:paraId="0FDE928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2.56</w:t>
                  </w:r>
                </w:p>
              </w:tc>
              <w:tc>
                <w:tcPr>
                  <w:tcW w:w="500" w:type="dxa"/>
                  <w:tcBorders>
                    <w:top w:val="nil"/>
                    <w:left w:val="nil"/>
                    <w:bottom w:val="single" w:sz="4" w:space="0" w:color="auto"/>
                    <w:right w:val="single" w:sz="4" w:space="0" w:color="auto"/>
                  </w:tcBorders>
                  <w:shd w:val="clear" w:color="auto" w:fill="auto"/>
                  <w:noWrap/>
                  <w:vAlign w:val="center"/>
                  <w:hideMark/>
                </w:tcPr>
                <w:p w14:paraId="0FDE928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3.11</w:t>
                  </w:r>
                </w:p>
              </w:tc>
              <w:tc>
                <w:tcPr>
                  <w:tcW w:w="500" w:type="dxa"/>
                  <w:tcBorders>
                    <w:top w:val="nil"/>
                    <w:left w:val="nil"/>
                    <w:bottom w:val="single" w:sz="4" w:space="0" w:color="auto"/>
                    <w:right w:val="single" w:sz="4" w:space="0" w:color="auto"/>
                  </w:tcBorders>
                  <w:shd w:val="clear" w:color="auto" w:fill="auto"/>
                  <w:noWrap/>
                  <w:vAlign w:val="center"/>
                  <w:hideMark/>
                </w:tcPr>
                <w:p w14:paraId="0FDE928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5.92</w:t>
                  </w:r>
                </w:p>
              </w:tc>
              <w:tc>
                <w:tcPr>
                  <w:tcW w:w="500" w:type="dxa"/>
                  <w:tcBorders>
                    <w:top w:val="nil"/>
                    <w:left w:val="nil"/>
                    <w:bottom w:val="single" w:sz="4" w:space="0" w:color="auto"/>
                    <w:right w:val="single" w:sz="4" w:space="0" w:color="auto"/>
                  </w:tcBorders>
                  <w:shd w:val="clear" w:color="auto" w:fill="auto"/>
                  <w:noWrap/>
                  <w:vAlign w:val="center"/>
                  <w:hideMark/>
                </w:tcPr>
                <w:p w14:paraId="0FDE928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0.03</w:t>
                  </w:r>
                </w:p>
              </w:tc>
              <w:tc>
                <w:tcPr>
                  <w:tcW w:w="500" w:type="dxa"/>
                  <w:tcBorders>
                    <w:top w:val="nil"/>
                    <w:left w:val="nil"/>
                    <w:bottom w:val="single" w:sz="4" w:space="0" w:color="auto"/>
                    <w:right w:val="single" w:sz="4" w:space="0" w:color="auto"/>
                  </w:tcBorders>
                  <w:shd w:val="clear" w:color="auto" w:fill="auto"/>
                  <w:noWrap/>
                  <w:vAlign w:val="center"/>
                  <w:hideMark/>
                </w:tcPr>
                <w:p w14:paraId="0FDE928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2.96</w:t>
                  </w:r>
                </w:p>
              </w:tc>
              <w:tc>
                <w:tcPr>
                  <w:tcW w:w="500" w:type="dxa"/>
                  <w:tcBorders>
                    <w:top w:val="nil"/>
                    <w:left w:val="nil"/>
                    <w:bottom w:val="single" w:sz="4" w:space="0" w:color="auto"/>
                    <w:right w:val="single" w:sz="4" w:space="0" w:color="auto"/>
                  </w:tcBorders>
                  <w:shd w:val="clear" w:color="auto" w:fill="auto"/>
                  <w:noWrap/>
                  <w:vAlign w:val="center"/>
                  <w:hideMark/>
                </w:tcPr>
                <w:p w14:paraId="0FDE929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0.75</w:t>
                  </w:r>
                </w:p>
              </w:tc>
              <w:tc>
                <w:tcPr>
                  <w:tcW w:w="500" w:type="dxa"/>
                  <w:tcBorders>
                    <w:top w:val="nil"/>
                    <w:left w:val="nil"/>
                    <w:bottom w:val="single" w:sz="4" w:space="0" w:color="auto"/>
                    <w:right w:val="single" w:sz="4" w:space="0" w:color="auto"/>
                  </w:tcBorders>
                  <w:shd w:val="clear" w:color="auto" w:fill="auto"/>
                  <w:noWrap/>
                  <w:vAlign w:val="center"/>
                  <w:hideMark/>
                </w:tcPr>
                <w:p w14:paraId="0FDE929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20.27</w:t>
                  </w:r>
                </w:p>
              </w:tc>
            </w:tr>
            <w:tr w:rsidR="007A4D7C" w14:paraId="0FDE92A1"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93"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9.89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6.70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-2.48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-3.13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3.75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A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20.32</w:t>
                  </w:r>
                </w:p>
              </w:tc>
            </w:tr>
            <w:tr w:rsidR="007A4D7C" w14:paraId="0FDE92B0"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A2"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2009</w:t>
                  </w:r>
                </w:p>
              </w:tc>
              <w:tc>
                <w:tcPr>
                  <w:tcW w:w="500" w:type="dxa"/>
                  <w:tcBorders>
                    <w:top w:val="nil"/>
                    <w:left w:val="nil"/>
                    <w:bottom w:val="single" w:sz="4" w:space="0" w:color="auto"/>
                    <w:right w:val="single" w:sz="4" w:space="0" w:color="auto"/>
                  </w:tcBorders>
                  <w:shd w:val="clear" w:color="auto" w:fill="auto"/>
                  <w:noWrap/>
                  <w:vAlign w:val="center"/>
                  <w:hideMark/>
                </w:tcPr>
                <w:p w14:paraId="0FDE92A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5.06</w:t>
                  </w:r>
                </w:p>
              </w:tc>
              <w:tc>
                <w:tcPr>
                  <w:tcW w:w="500" w:type="dxa"/>
                  <w:tcBorders>
                    <w:top w:val="nil"/>
                    <w:left w:val="nil"/>
                    <w:bottom w:val="single" w:sz="4" w:space="0" w:color="auto"/>
                    <w:right w:val="single" w:sz="4" w:space="0" w:color="auto"/>
                  </w:tcBorders>
                  <w:shd w:val="clear" w:color="auto" w:fill="auto"/>
                  <w:noWrap/>
                  <w:vAlign w:val="center"/>
                  <w:hideMark/>
                </w:tcPr>
                <w:p w14:paraId="0FDE92A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2.78</w:t>
                  </w:r>
                </w:p>
              </w:tc>
              <w:tc>
                <w:tcPr>
                  <w:tcW w:w="500" w:type="dxa"/>
                  <w:tcBorders>
                    <w:top w:val="nil"/>
                    <w:left w:val="nil"/>
                    <w:bottom w:val="single" w:sz="4" w:space="0" w:color="auto"/>
                    <w:right w:val="single" w:sz="4" w:space="0" w:color="auto"/>
                  </w:tcBorders>
                  <w:shd w:val="clear" w:color="auto" w:fill="auto"/>
                  <w:noWrap/>
                  <w:vAlign w:val="center"/>
                  <w:hideMark/>
                </w:tcPr>
                <w:p w14:paraId="0FDE92A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1.17</w:t>
                  </w:r>
                </w:p>
              </w:tc>
              <w:tc>
                <w:tcPr>
                  <w:tcW w:w="500" w:type="dxa"/>
                  <w:tcBorders>
                    <w:top w:val="nil"/>
                    <w:left w:val="nil"/>
                    <w:bottom w:val="single" w:sz="4" w:space="0" w:color="auto"/>
                    <w:right w:val="single" w:sz="4" w:space="0" w:color="auto"/>
                  </w:tcBorders>
                  <w:shd w:val="clear" w:color="auto" w:fill="auto"/>
                  <w:noWrap/>
                  <w:vAlign w:val="center"/>
                  <w:hideMark/>
                </w:tcPr>
                <w:p w14:paraId="0FDE92A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0.13</w:t>
                  </w:r>
                </w:p>
              </w:tc>
              <w:tc>
                <w:tcPr>
                  <w:tcW w:w="500" w:type="dxa"/>
                  <w:tcBorders>
                    <w:top w:val="nil"/>
                    <w:left w:val="nil"/>
                    <w:bottom w:val="single" w:sz="4" w:space="0" w:color="auto"/>
                    <w:right w:val="single" w:sz="4" w:space="0" w:color="auto"/>
                  </w:tcBorders>
                  <w:shd w:val="clear" w:color="auto" w:fill="auto"/>
                  <w:noWrap/>
                  <w:vAlign w:val="center"/>
                  <w:hideMark/>
                </w:tcPr>
                <w:p w14:paraId="0FDE92A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3.14</w:t>
                  </w:r>
                </w:p>
              </w:tc>
              <w:tc>
                <w:tcPr>
                  <w:tcW w:w="500" w:type="dxa"/>
                  <w:tcBorders>
                    <w:top w:val="nil"/>
                    <w:left w:val="nil"/>
                    <w:bottom w:val="single" w:sz="4" w:space="0" w:color="auto"/>
                    <w:right w:val="single" w:sz="4" w:space="0" w:color="auto"/>
                  </w:tcBorders>
                  <w:shd w:val="clear" w:color="auto" w:fill="auto"/>
                  <w:noWrap/>
                  <w:vAlign w:val="center"/>
                  <w:hideMark/>
                </w:tcPr>
                <w:p w14:paraId="0FDE92A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-0.86</w:t>
                  </w:r>
                </w:p>
              </w:tc>
              <w:tc>
                <w:tcPr>
                  <w:tcW w:w="500" w:type="dxa"/>
                  <w:tcBorders>
                    <w:top w:val="nil"/>
                    <w:left w:val="nil"/>
                    <w:bottom w:val="single" w:sz="4" w:space="0" w:color="auto"/>
                    <w:right w:val="single" w:sz="4" w:space="0" w:color="auto"/>
                  </w:tcBorders>
                  <w:shd w:val="clear" w:color="auto" w:fill="auto"/>
                  <w:noWrap/>
                  <w:vAlign w:val="center"/>
                  <w:hideMark/>
                </w:tcPr>
                <w:p w14:paraId="0FDE92A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1.36</w:t>
                  </w:r>
                </w:p>
              </w:tc>
              <w:tc>
                <w:tcPr>
                  <w:tcW w:w="500" w:type="dxa"/>
                  <w:tcBorders>
                    <w:top w:val="nil"/>
                    <w:left w:val="nil"/>
                    <w:bottom w:val="single" w:sz="4" w:space="0" w:color="auto"/>
                    <w:right w:val="single" w:sz="4" w:space="0" w:color="auto"/>
                  </w:tcBorders>
                  <w:shd w:val="clear" w:color="auto" w:fill="auto"/>
                  <w:noWrap/>
                  <w:vAlign w:val="center"/>
                  <w:hideMark/>
                </w:tcPr>
                <w:p w14:paraId="0FDE92A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0.71</w:t>
                  </w:r>
                </w:p>
              </w:tc>
              <w:tc>
                <w:tcPr>
                  <w:tcW w:w="500" w:type="dxa"/>
                  <w:tcBorders>
                    <w:top w:val="nil"/>
                    <w:left w:val="nil"/>
                    <w:bottom w:val="single" w:sz="4" w:space="0" w:color="auto"/>
                    <w:right w:val="single" w:sz="4" w:space="0" w:color="auto"/>
                  </w:tcBorders>
                  <w:shd w:val="clear" w:color="auto" w:fill="auto"/>
                  <w:noWrap/>
                  <w:vAlign w:val="center"/>
                  <w:hideMark/>
                </w:tcPr>
                <w:p w14:paraId="0FDE92A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1.55</w:t>
                  </w:r>
                </w:p>
              </w:tc>
              <w:tc>
                <w:tcPr>
                  <w:tcW w:w="500" w:type="dxa"/>
                  <w:tcBorders>
                    <w:top w:val="nil"/>
                    <w:left w:val="nil"/>
                    <w:bottom w:val="single" w:sz="4" w:space="0" w:color="auto"/>
                    <w:right w:val="single" w:sz="4" w:space="0" w:color="auto"/>
                  </w:tcBorders>
                  <w:shd w:val="clear" w:color="auto" w:fill="auto"/>
                  <w:noWrap/>
                  <w:vAlign w:val="center"/>
                  <w:hideMark/>
                </w:tcPr>
                <w:p w14:paraId="0FDE92A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1.07</w:t>
                  </w:r>
                </w:p>
              </w:tc>
              <w:tc>
                <w:tcPr>
                  <w:tcW w:w="500" w:type="dxa"/>
                  <w:tcBorders>
                    <w:top w:val="nil"/>
                    <w:left w:val="nil"/>
                    <w:bottom w:val="single" w:sz="4" w:space="0" w:color="auto"/>
                    <w:right w:val="single" w:sz="4" w:space="0" w:color="auto"/>
                  </w:tcBorders>
                  <w:shd w:val="clear" w:color="auto" w:fill="auto"/>
                  <w:noWrap/>
                  <w:vAlign w:val="center"/>
                  <w:hideMark/>
                </w:tcPr>
                <w:p w14:paraId="0FDE92A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nil"/>
                    <w:left w:val="nil"/>
                    <w:bottom w:val="single" w:sz="4" w:space="0" w:color="auto"/>
                    <w:right w:val="single" w:sz="4" w:space="0" w:color="auto"/>
                  </w:tcBorders>
                  <w:shd w:val="clear" w:color="auto" w:fill="auto"/>
                  <w:noWrap/>
                  <w:vAlign w:val="center"/>
                  <w:hideMark/>
                </w:tcPr>
                <w:p w14:paraId="0FDE92A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nil"/>
                    <w:left w:val="nil"/>
                    <w:bottom w:val="single" w:sz="4" w:space="0" w:color="auto"/>
                    <w:right w:val="single" w:sz="4" w:space="0" w:color="auto"/>
                  </w:tcBorders>
                  <w:shd w:val="clear" w:color="auto" w:fill="auto"/>
                  <w:noWrap/>
                  <w:vAlign w:val="center"/>
                  <w:hideMark/>
                </w:tcPr>
                <w:p w14:paraId="0FDE92A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18.04</w:t>
                  </w:r>
                </w:p>
              </w:tc>
            </w:tr>
            <w:tr w:rsidR="007A4D7C" w14:paraId="0FDE92BF"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B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-0.27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1.45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-2.01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0.91</w:t>
                  </w:r>
                </w:p>
              </w:tc>
            </w:tr>
            <w:tr w:rsidR="007A4D7C" w14:paraId="0FDE92CE"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C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2011</w:t>
                  </w:r>
                </w:p>
              </w:tc>
              <w:tc>
                <w:tcPr>
                  <w:tcW w:w="500" w:type="dxa"/>
                  <w:tcBorders>
                    <w:top w:val="nil"/>
                    <w:left w:val="nil"/>
                    <w:bottom w:val="single" w:sz="4" w:space="0" w:color="auto"/>
                    <w:right w:val="single" w:sz="4" w:space="0" w:color="auto"/>
                  </w:tcBorders>
                  <w:shd w:val="clear" w:color="auto" w:fill="auto"/>
                  <w:noWrap/>
                  <w:vAlign w:val="center"/>
                  <w:hideMark/>
                </w:tcPr>
                <w:p w14:paraId="0FDE92C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0.65</w:t>
                  </w:r>
                </w:p>
              </w:tc>
              <w:tc>
                <w:tcPr>
                  <w:tcW w:w="500" w:type="dxa"/>
                  <w:tcBorders>
                    <w:top w:val="nil"/>
                    <w:left w:val="nil"/>
                    <w:bottom w:val="single" w:sz="4" w:space="0" w:color="auto"/>
                    <w:right w:val="single" w:sz="4" w:space="0" w:color="auto"/>
                  </w:tcBorders>
                  <w:shd w:val="clear" w:color="auto" w:fill="auto"/>
                  <w:noWrap/>
                  <w:vAlign w:val="center"/>
                  <w:hideMark/>
                </w:tcPr>
                <w:p w14:paraId="0FDE92C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0.53</w:t>
                  </w:r>
                </w:p>
              </w:tc>
              <w:tc>
                <w:tcPr>
                  <w:tcW w:w="500" w:type="dxa"/>
                  <w:tcBorders>
                    <w:top w:val="nil"/>
                    <w:left w:val="nil"/>
                    <w:bottom w:val="single" w:sz="4" w:space="0" w:color="auto"/>
                    <w:right w:val="single" w:sz="4" w:space="0" w:color="auto"/>
                  </w:tcBorders>
                  <w:shd w:val="clear" w:color="auto" w:fill="auto"/>
                  <w:noWrap/>
                  <w:vAlign w:val="center"/>
                  <w:hideMark/>
                </w:tcPr>
                <w:p w14:paraId="0FDE92C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0.75</w:t>
                  </w:r>
                </w:p>
              </w:tc>
              <w:tc>
                <w:tcPr>
                  <w:tcW w:w="500" w:type="dxa"/>
                  <w:tcBorders>
                    <w:top w:val="nil"/>
                    <w:left w:val="nil"/>
                    <w:bottom w:val="single" w:sz="4" w:space="0" w:color="auto"/>
                    <w:right w:val="single" w:sz="4" w:space="0" w:color="auto"/>
                  </w:tcBorders>
                  <w:shd w:val="clear" w:color="auto" w:fill="auto"/>
                  <w:noWrap/>
                  <w:vAlign w:val="center"/>
                  <w:hideMark/>
                </w:tcPr>
                <w:p w14:paraId="0FDE92C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0.49</w:t>
                  </w:r>
                </w:p>
              </w:tc>
              <w:tc>
                <w:tcPr>
                  <w:tcW w:w="500" w:type="dxa"/>
                  <w:tcBorders>
                    <w:top w:val="nil"/>
                    <w:left w:val="nil"/>
                    <w:bottom w:val="single" w:sz="4" w:space="0" w:color="auto"/>
                    <w:right w:val="single" w:sz="4" w:space="0" w:color="auto"/>
                  </w:tcBorders>
                  <w:shd w:val="clear" w:color="auto" w:fill="auto"/>
                  <w:noWrap/>
                  <w:vAlign w:val="center"/>
                  <w:hideMark/>
                </w:tcPr>
                <w:p w14:paraId="0FDE92C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0.55</w:t>
                  </w:r>
                </w:p>
              </w:tc>
              <w:tc>
                <w:tcPr>
                  <w:tcW w:w="500" w:type="dxa"/>
                  <w:tcBorders>
                    <w:top w:val="nil"/>
                    <w:left w:val="nil"/>
                    <w:bottom w:val="single" w:sz="4" w:space="0" w:color="auto"/>
                    <w:right w:val="single" w:sz="4" w:space="0" w:color="auto"/>
                  </w:tcBorders>
                  <w:shd w:val="clear" w:color="auto" w:fill="auto"/>
                  <w:noWrap/>
                  <w:vAlign w:val="center"/>
                  <w:hideMark/>
                </w:tcPr>
                <w:p w14:paraId="0FDE92C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-0.58</w:t>
                  </w:r>
                </w:p>
              </w:tc>
              <w:tc>
                <w:tcPr>
                  <w:tcW w:w="500" w:type="dxa"/>
                  <w:tcBorders>
                    <w:top w:val="nil"/>
                    <w:left w:val="nil"/>
                    <w:bottom w:val="single" w:sz="4" w:space="0" w:color="auto"/>
                    <w:right w:val="single" w:sz="4" w:space="0" w:color="auto"/>
                  </w:tcBorders>
                  <w:shd w:val="clear" w:color="auto" w:fill="auto"/>
                  <w:noWrap/>
                  <w:vAlign w:val="center"/>
                  <w:hideMark/>
                </w:tcPr>
                <w:p w14:paraId="0FDE92C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2.19</w:t>
                  </w:r>
                </w:p>
              </w:tc>
              <w:tc>
                <w:tcPr>
                  <w:tcW w:w="500" w:type="dxa"/>
                  <w:tcBorders>
                    <w:top w:val="nil"/>
                    <w:left w:val="nil"/>
                    <w:bottom w:val="single" w:sz="4" w:space="0" w:color="auto"/>
                    <w:right w:val="single" w:sz="4" w:space="0" w:color="auto"/>
                  </w:tcBorders>
                  <w:shd w:val="clear" w:color="auto" w:fill="auto"/>
                  <w:noWrap/>
                  <w:vAlign w:val="center"/>
                  <w:hideMark/>
                </w:tcPr>
                <w:p w14:paraId="0FDE92C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6.18</w:t>
                  </w:r>
                </w:p>
              </w:tc>
              <w:tc>
                <w:tcPr>
                  <w:tcW w:w="500" w:type="dxa"/>
                  <w:tcBorders>
                    <w:top w:val="nil"/>
                    <w:left w:val="nil"/>
                    <w:bottom w:val="single" w:sz="4" w:space="0" w:color="auto"/>
                    <w:right w:val="single" w:sz="4" w:space="0" w:color="auto"/>
                  </w:tcBorders>
                  <w:shd w:val="clear" w:color="auto" w:fill="auto"/>
                  <w:noWrap/>
                  <w:vAlign w:val="center"/>
                  <w:hideMark/>
                </w:tcPr>
                <w:p w14:paraId="0FDE92C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2C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-0.76</w:t>
                  </w:r>
                </w:p>
              </w:tc>
              <w:tc>
                <w:tcPr>
                  <w:tcW w:w="500" w:type="dxa"/>
                  <w:tcBorders>
                    <w:top w:val="nil"/>
                    <w:left w:val="nil"/>
                    <w:bottom w:val="single" w:sz="4" w:space="0" w:color="auto"/>
                    <w:right w:val="single" w:sz="4" w:space="0" w:color="auto"/>
                  </w:tcBorders>
                  <w:shd w:val="clear" w:color="auto" w:fill="auto"/>
                  <w:noWrap/>
                  <w:vAlign w:val="center"/>
                  <w:hideMark/>
                </w:tcPr>
                <w:p w14:paraId="0FDE92C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1.68</w:t>
                  </w:r>
                </w:p>
              </w:tc>
              <w:tc>
                <w:tcPr>
                  <w:tcW w:w="500" w:type="dxa"/>
                  <w:tcBorders>
                    <w:top w:val="nil"/>
                    <w:left w:val="nil"/>
                    <w:bottom w:val="single" w:sz="4" w:space="0" w:color="auto"/>
                    <w:right w:val="single" w:sz="4" w:space="0" w:color="auto"/>
                  </w:tcBorders>
                  <w:shd w:val="clear" w:color="auto" w:fill="auto"/>
                  <w:noWrap/>
                  <w:vAlign w:val="center"/>
                  <w:hideMark/>
                </w:tcPr>
                <w:p w14:paraId="0FDE92C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-0.47</w:t>
                  </w:r>
                </w:p>
              </w:tc>
              <w:tc>
                <w:tcPr>
                  <w:tcW w:w="500" w:type="dxa"/>
                  <w:tcBorders>
                    <w:top w:val="nil"/>
                    <w:left w:val="nil"/>
                    <w:bottom w:val="single" w:sz="4" w:space="0" w:color="auto"/>
                    <w:right w:val="single" w:sz="4" w:space="0" w:color="auto"/>
                  </w:tcBorders>
                  <w:shd w:val="clear" w:color="auto" w:fill="auto"/>
                  <w:noWrap/>
                  <w:vAlign w:val="center"/>
                  <w:hideMark/>
                </w:tcPr>
                <w:p w14:paraId="0FDE92C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12.04</w:t>
                  </w:r>
                </w:p>
              </w:tc>
            </w:tr>
            <w:tr w:rsidR="007A4D7C" w14:paraId="0FDE92DD"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CF"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0.25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-2.23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1.99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1.66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3.86</w:t>
                  </w:r>
                </w:p>
              </w:tc>
            </w:tr>
            <w:tr w:rsidR="007A4D7C" w14:paraId="0FDE92EC"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DE"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2013</w:t>
                  </w:r>
                </w:p>
              </w:tc>
              <w:tc>
                <w:tcPr>
                  <w:tcW w:w="500" w:type="dxa"/>
                  <w:tcBorders>
                    <w:top w:val="nil"/>
                    <w:left w:val="nil"/>
                    <w:bottom w:val="single" w:sz="4" w:space="0" w:color="auto"/>
                    <w:right w:val="single" w:sz="4" w:space="0" w:color="auto"/>
                  </w:tcBorders>
                  <w:shd w:val="clear" w:color="auto" w:fill="auto"/>
                  <w:noWrap/>
                  <w:vAlign w:val="center"/>
                  <w:hideMark/>
                </w:tcPr>
                <w:p w14:paraId="0FDE92D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1.01</w:t>
                  </w:r>
                </w:p>
              </w:tc>
              <w:tc>
                <w:tcPr>
                  <w:tcW w:w="500" w:type="dxa"/>
                  <w:tcBorders>
                    <w:top w:val="nil"/>
                    <w:left w:val="nil"/>
                    <w:bottom w:val="single" w:sz="4" w:space="0" w:color="auto"/>
                    <w:right w:val="single" w:sz="4" w:space="0" w:color="auto"/>
                  </w:tcBorders>
                  <w:shd w:val="clear" w:color="auto" w:fill="auto"/>
                  <w:noWrap/>
                  <w:vAlign w:val="center"/>
                  <w:hideMark/>
                </w:tcPr>
                <w:p w14:paraId="0FDE92E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2.32</w:t>
                  </w:r>
                </w:p>
              </w:tc>
              <w:tc>
                <w:tcPr>
                  <w:tcW w:w="500" w:type="dxa"/>
                  <w:tcBorders>
                    <w:top w:val="nil"/>
                    <w:left w:val="nil"/>
                    <w:bottom w:val="single" w:sz="4" w:space="0" w:color="auto"/>
                    <w:right w:val="single" w:sz="4" w:space="0" w:color="auto"/>
                  </w:tcBorders>
                  <w:shd w:val="clear" w:color="auto" w:fill="auto"/>
                  <w:noWrap/>
                  <w:vAlign w:val="center"/>
                  <w:hideMark/>
                </w:tcPr>
                <w:p w14:paraId="0FDE92E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0.34</w:t>
                  </w:r>
                </w:p>
              </w:tc>
              <w:tc>
                <w:tcPr>
                  <w:tcW w:w="500" w:type="dxa"/>
                  <w:tcBorders>
                    <w:top w:val="nil"/>
                    <w:left w:val="nil"/>
                    <w:bottom w:val="single" w:sz="4" w:space="0" w:color="auto"/>
                    <w:right w:val="single" w:sz="4" w:space="0" w:color="auto"/>
                  </w:tcBorders>
                  <w:shd w:val="clear" w:color="auto" w:fill="auto"/>
                  <w:noWrap/>
                  <w:vAlign w:val="center"/>
                  <w:hideMark/>
                </w:tcPr>
                <w:p w14:paraId="0FDE92E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3.45</w:t>
                  </w:r>
                </w:p>
              </w:tc>
              <w:tc>
                <w:tcPr>
                  <w:tcW w:w="500" w:type="dxa"/>
                  <w:tcBorders>
                    <w:top w:val="nil"/>
                    <w:left w:val="nil"/>
                    <w:bottom w:val="single" w:sz="4" w:space="0" w:color="auto"/>
                    <w:right w:val="single" w:sz="4" w:space="0" w:color="auto"/>
                  </w:tcBorders>
                  <w:shd w:val="clear" w:color="auto" w:fill="auto"/>
                  <w:noWrap/>
                  <w:vAlign w:val="center"/>
                  <w:hideMark/>
                </w:tcPr>
                <w:p w14:paraId="0FDE92E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-0.10</w:t>
                  </w:r>
                </w:p>
              </w:tc>
              <w:tc>
                <w:tcPr>
                  <w:tcW w:w="500" w:type="dxa"/>
                  <w:tcBorders>
                    <w:top w:val="nil"/>
                    <w:left w:val="nil"/>
                    <w:bottom w:val="single" w:sz="4" w:space="0" w:color="auto"/>
                    <w:right w:val="single" w:sz="4" w:space="0" w:color="auto"/>
                  </w:tcBorders>
                  <w:shd w:val="clear" w:color="auto" w:fill="auto"/>
                  <w:noWrap/>
                  <w:vAlign w:val="center"/>
                  <w:hideMark/>
                </w:tcPr>
                <w:p w14:paraId="0FDE92E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-3.05</w:t>
                  </w:r>
                </w:p>
              </w:tc>
              <w:tc>
                <w:tcPr>
                  <w:tcW w:w="500" w:type="dxa"/>
                  <w:tcBorders>
                    <w:top w:val="nil"/>
                    <w:left w:val="nil"/>
                    <w:bottom w:val="single" w:sz="4" w:space="0" w:color="auto"/>
                    <w:right w:val="single" w:sz="4" w:space="0" w:color="auto"/>
                  </w:tcBorders>
                  <w:shd w:val="clear" w:color="auto" w:fill="auto"/>
                  <w:noWrap/>
                  <w:vAlign w:val="center"/>
                  <w:hideMark/>
                </w:tcPr>
                <w:p w14:paraId="0FDE92E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-0.83</w:t>
                  </w:r>
                </w:p>
              </w:tc>
              <w:tc>
                <w:tcPr>
                  <w:tcW w:w="500" w:type="dxa"/>
                  <w:tcBorders>
                    <w:top w:val="nil"/>
                    <w:left w:val="nil"/>
                    <w:bottom w:val="single" w:sz="4" w:space="0" w:color="auto"/>
                    <w:right w:val="single" w:sz="4" w:space="0" w:color="auto"/>
                  </w:tcBorders>
                  <w:shd w:val="clear" w:color="auto" w:fill="auto"/>
                  <w:noWrap/>
                  <w:vAlign w:val="center"/>
                  <w:hideMark/>
                </w:tcPr>
                <w:p w14:paraId="0FDE92E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-1.55</w:t>
                  </w:r>
                </w:p>
              </w:tc>
              <w:tc>
                <w:tcPr>
                  <w:tcW w:w="500" w:type="dxa"/>
                  <w:tcBorders>
                    <w:top w:val="nil"/>
                    <w:left w:val="nil"/>
                    <w:bottom w:val="single" w:sz="4" w:space="0" w:color="auto"/>
                    <w:right w:val="single" w:sz="4" w:space="0" w:color="auto"/>
                  </w:tcBorders>
                  <w:shd w:val="clear" w:color="auto" w:fill="auto"/>
                  <w:noWrap/>
                  <w:vAlign w:val="center"/>
                  <w:hideMark/>
                </w:tcPr>
                <w:p w14:paraId="0FDE92E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0.03</w:t>
                  </w:r>
                </w:p>
              </w:tc>
              <w:tc>
                <w:tcPr>
                  <w:tcW w:w="500" w:type="dxa"/>
                  <w:tcBorders>
                    <w:top w:val="nil"/>
                    <w:left w:val="nil"/>
                    <w:bottom w:val="single" w:sz="4" w:space="0" w:color="auto"/>
                    <w:right w:val="single" w:sz="4" w:space="0" w:color="auto"/>
                  </w:tcBorders>
                  <w:shd w:val="clear" w:color="auto" w:fill="auto"/>
                  <w:noWrap/>
                  <w:vAlign w:val="center"/>
                  <w:hideMark/>
                </w:tcPr>
                <w:p w14:paraId="0FDE92E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-0.55</w:t>
                  </w:r>
                </w:p>
              </w:tc>
              <w:tc>
                <w:tcPr>
                  <w:tcW w:w="500" w:type="dxa"/>
                  <w:tcBorders>
                    <w:top w:val="nil"/>
                    <w:left w:val="nil"/>
                    <w:bottom w:val="single" w:sz="4" w:space="0" w:color="auto"/>
                    <w:right w:val="single" w:sz="4" w:space="0" w:color="auto"/>
                  </w:tcBorders>
                  <w:shd w:val="clear" w:color="auto" w:fill="auto"/>
                  <w:noWrap/>
                  <w:vAlign w:val="center"/>
                  <w:hideMark/>
                </w:tcPr>
                <w:p w14:paraId="0FDE92E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1.35</w:t>
                  </w:r>
                </w:p>
              </w:tc>
              <w:tc>
                <w:tcPr>
                  <w:tcW w:w="500" w:type="dxa"/>
                  <w:tcBorders>
                    <w:top w:val="nil"/>
                    <w:left w:val="nil"/>
                    <w:bottom w:val="single" w:sz="4" w:space="0" w:color="auto"/>
                    <w:right w:val="single" w:sz="4" w:space="0" w:color="auto"/>
                  </w:tcBorders>
                  <w:shd w:val="clear" w:color="auto" w:fill="auto"/>
                  <w:noWrap/>
                  <w:vAlign w:val="center"/>
                  <w:hideMark/>
                </w:tcPr>
                <w:p w14:paraId="0FDE92E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2E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2.70</w:t>
                  </w:r>
                </w:p>
              </w:tc>
            </w:tr>
            <w:tr w:rsidR="007A4D7C" w14:paraId="0FDE92FB" w14:textId="77777777" w:rsidTr="000A4326">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ED"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E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E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3.96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-1.73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2F9" w14:textId="77777777" w:rsidR="007A4D7C" w:rsidRDefault="00674259" w:rsidP="007A4D7C">
                  <w:pPr>
                    <w:spacing w:after="0"/>
                    <w:jc w:val="right"/>
                    <w:rPr>
                      <w:rFonts w:ascii="Arial" w:hAnsi="Arial" w:cs="Arial"/>
                      <w:color w:val="000000"/>
                      <w:sz w:val="13"/>
                      <w:szCs w:val="13"/>
                    </w:rPr>
                  </w:pPr>
                  <w:r>
                    <w:rPr>
                      <w:rFonts w:ascii="Arial" w:hAnsi="Arial" w:cs="Arial"/>
                      <w:color w:val="000000"/>
                      <w:sz w:val="13"/>
                      <w:szCs w:val="13"/>
                    </w:rPr>
                    <w:t>-0.05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2FA" w14:textId="77777777" w:rsidR="007A4D7C" w:rsidRDefault="00674259" w:rsidP="007A4D7C">
                  <w:pPr>
                    <w:spacing w:after="0"/>
                    <w:jc w:val="right"/>
                    <w:rPr>
                      <w:rFonts w:ascii="Arial" w:hAnsi="Arial" w:cs="Arial"/>
                      <w:color w:val="000000"/>
                      <w:sz w:val="13"/>
                      <w:szCs w:val="13"/>
                    </w:rPr>
                  </w:pPr>
                  <w:r>
                    <w:rPr>
                      <w:rFonts w:ascii="Arial" w:hAnsi="Arial" w:cs="Arial"/>
                      <w:color w:val="000000"/>
                      <w:sz w:val="13"/>
                      <w:szCs w:val="13"/>
                    </w:rPr>
                    <w:t>0.11</w:t>
                  </w:r>
                </w:p>
              </w:tc>
            </w:tr>
            <w:tr w:rsidR="000A4326" w14:paraId="0FDE930A" w14:textId="77777777" w:rsidTr="00842179">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2FC" w14:textId="77777777" w:rsidR="000A4326" w:rsidRDefault="000A4326" w:rsidP="007A4D7C">
                  <w:pPr>
                    <w:spacing w:after="0"/>
                    <w:jc w:val="center"/>
                    <w:rPr>
                      <w:rFonts w:ascii="Arial" w:hAnsi="Arial" w:cs="Arial"/>
                      <w:b/>
                      <w:bCs/>
                      <w:color w:val="000000"/>
                      <w:sz w:val="13"/>
                      <w:szCs w:val="13"/>
                    </w:rPr>
                  </w:pPr>
                  <w:r>
                    <w:rPr>
                      <w:rFonts w:ascii="Arial" w:hAnsi="Arial" w:cs="Arial"/>
                      <w:b/>
                      <w:bCs/>
                      <w:color w:val="000000"/>
                      <w:sz w:val="13"/>
                      <w:szCs w:val="13"/>
                    </w:rPr>
                    <w:t>2015</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2FD" w14:textId="77777777" w:rsidR="000A4326" w:rsidRDefault="00674259" w:rsidP="00580462">
                  <w:pPr>
                    <w:spacing w:after="0"/>
                    <w:jc w:val="right"/>
                    <w:rPr>
                      <w:rFonts w:ascii="Arial" w:hAnsi="Arial" w:cs="Arial"/>
                      <w:color w:val="000000"/>
                      <w:sz w:val="13"/>
                      <w:szCs w:val="13"/>
                    </w:rPr>
                  </w:pPr>
                  <w:r>
                    <w:rPr>
                      <w:rFonts w:ascii="Arial" w:hAnsi="Arial" w:cs="Arial"/>
                      <w:color w:val="000000"/>
                      <w:sz w:val="13"/>
                      <w:szCs w:val="13"/>
                    </w:rPr>
                    <w:t>3.</w:t>
                  </w:r>
                  <w:r w:rsidR="00580462">
                    <w:rPr>
                      <w:rFonts w:ascii="Arial" w:hAnsi="Arial" w:cs="Arial"/>
                      <w:color w:val="000000"/>
                      <w:sz w:val="13"/>
                      <w:szCs w:val="13"/>
                    </w:rPr>
                    <w:t>14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2FE" w14:textId="77777777" w:rsidR="000A4326" w:rsidRDefault="00EE1F6E" w:rsidP="007A4D7C">
                  <w:pPr>
                    <w:spacing w:after="0"/>
                    <w:jc w:val="right"/>
                    <w:rPr>
                      <w:rFonts w:ascii="Arial" w:hAnsi="Arial" w:cs="Arial"/>
                      <w:color w:val="000000"/>
                      <w:sz w:val="13"/>
                      <w:szCs w:val="13"/>
                    </w:rPr>
                  </w:pPr>
                  <w:r>
                    <w:rPr>
                      <w:rFonts w:ascii="Arial" w:hAnsi="Arial" w:cs="Arial"/>
                      <w:color w:val="000000"/>
                      <w:sz w:val="13"/>
                      <w:szCs w:val="13"/>
                    </w:rPr>
                    <w:t>-0.60</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2FF" w14:textId="77777777" w:rsidR="000A4326" w:rsidRDefault="008809FF" w:rsidP="007A4D7C">
                  <w:pPr>
                    <w:spacing w:after="0"/>
                    <w:jc w:val="right"/>
                    <w:rPr>
                      <w:rFonts w:ascii="Arial" w:hAnsi="Arial" w:cs="Arial"/>
                      <w:color w:val="000000"/>
                      <w:sz w:val="13"/>
                      <w:szCs w:val="13"/>
                    </w:rPr>
                  </w:pPr>
                  <w:r>
                    <w:rPr>
                      <w:rFonts w:ascii="Arial" w:hAnsi="Arial" w:cs="Arial"/>
                      <w:color w:val="000000"/>
                      <w:sz w:val="13"/>
                      <w:szCs w:val="13"/>
                    </w:rPr>
                    <w:t>0.36</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0" w14:textId="77777777" w:rsidR="000A4326" w:rsidRDefault="002C1031" w:rsidP="0047197A">
                  <w:pPr>
                    <w:spacing w:after="0"/>
                    <w:jc w:val="right"/>
                    <w:rPr>
                      <w:rFonts w:ascii="Arial" w:hAnsi="Arial" w:cs="Arial"/>
                      <w:color w:val="000000"/>
                      <w:sz w:val="13"/>
                      <w:szCs w:val="13"/>
                    </w:rPr>
                  </w:pPr>
                  <w:r>
                    <w:rPr>
                      <w:rFonts w:ascii="Arial" w:hAnsi="Arial" w:cs="Arial"/>
                      <w:color w:val="000000"/>
                      <w:sz w:val="13"/>
                      <w:szCs w:val="13"/>
                    </w:rPr>
                    <w:t>-1.</w:t>
                  </w:r>
                  <w:r w:rsidR="0047197A">
                    <w:rPr>
                      <w:rFonts w:ascii="Arial" w:hAnsi="Arial" w:cs="Arial"/>
                      <w:color w:val="000000"/>
                      <w:sz w:val="13"/>
                      <w:szCs w:val="13"/>
                    </w:rPr>
                    <w:t>28</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1" w14:textId="77777777" w:rsidR="000A4326" w:rsidRDefault="00A7286E" w:rsidP="007A4D7C">
                  <w:pPr>
                    <w:spacing w:after="0"/>
                    <w:jc w:val="right"/>
                    <w:rPr>
                      <w:rFonts w:ascii="Arial" w:hAnsi="Arial" w:cs="Arial"/>
                      <w:color w:val="000000"/>
                      <w:sz w:val="13"/>
                      <w:szCs w:val="13"/>
                    </w:rPr>
                  </w:pPr>
                  <w:r>
                    <w:rPr>
                      <w:rFonts w:ascii="Arial" w:hAnsi="Arial" w:cs="Arial"/>
                      <w:color w:val="000000"/>
                      <w:sz w:val="13"/>
                      <w:szCs w:val="13"/>
                    </w:rPr>
                    <w:t>0.93</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2" w14:textId="77777777" w:rsidR="000A4326" w:rsidRDefault="00C83925" w:rsidP="008F61E2">
                  <w:pPr>
                    <w:spacing w:after="0"/>
                    <w:jc w:val="right"/>
                    <w:rPr>
                      <w:rFonts w:ascii="Arial" w:hAnsi="Arial" w:cs="Arial"/>
                      <w:color w:val="000000"/>
                      <w:sz w:val="13"/>
                      <w:szCs w:val="13"/>
                    </w:rPr>
                  </w:pPr>
                  <w:r>
                    <w:rPr>
                      <w:rFonts w:ascii="Arial" w:hAnsi="Arial" w:cs="Arial"/>
                      <w:color w:val="000000"/>
                      <w:sz w:val="13"/>
                      <w:szCs w:val="13"/>
                    </w:rPr>
                    <w:t>-1.0</w:t>
                  </w:r>
                  <w:r w:rsidR="008F61E2">
                    <w:rPr>
                      <w:rFonts w:ascii="Arial" w:hAnsi="Arial" w:cs="Arial"/>
                      <w:color w:val="000000"/>
                      <w:sz w:val="13"/>
                      <w:szCs w:val="13"/>
                    </w:rPr>
                    <w:t>1</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3" w14:textId="77777777" w:rsidR="000A4326" w:rsidRDefault="00C23569" w:rsidP="00667749">
                  <w:pPr>
                    <w:spacing w:after="0"/>
                    <w:jc w:val="right"/>
                    <w:rPr>
                      <w:rFonts w:ascii="Arial" w:hAnsi="Arial" w:cs="Arial"/>
                      <w:color w:val="000000"/>
                      <w:sz w:val="13"/>
                      <w:szCs w:val="13"/>
                    </w:rPr>
                  </w:pPr>
                  <w:r>
                    <w:rPr>
                      <w:rFonts w:ascii="Arial" w:hAnsi="Arial" w:cs="Arial"/>
                      <w:color w:val="000000"/>
                      <w:sz w:val="13"/>
                      <w:szCs w:val="13"/>
                    </w:rPr>
                    <w:t>0.3</w:t>
                  </w:r>
                  <w:r w:rsidR="00667749">
                    <w:rPr>
                      <w:rFonts w:ascii="Arial" w:hAnsi="Arial" w:cs="Arial"/>
                      <w:color w:val="000000"/>
                      <w:sz w:val="13"/>
                      <w:szCs w:val="13"/>
                    </w:rPr>
                    <w:t>2</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4" w14:textId="77777777" w:rsidR="000A4326" w:rsidRDefault="001F7BE8" w:rsidP="007A4D7C">
                  <w:pPr>
                    <w:spacing w:after="0"/>
                    <w:jc w:val="right"/>
                    <w:rPr>
                      <w:rFonts w:ascii="Arial" w:hAnsi="Arial" w:cs="Arial"/>
                      <w:color w:val="000000"/>
                      <w:sz w:val="13"/>
                      <w:szCs w:val="13"/>
                    </w:rPr>
                  </w:pPr>
                  <w:r>
                    <w:rPr>
                      <w:rFonts w:ascii="Arial" w:hAnsi="Arial" w:cs="Arial"/>
                      <w:color w:val="000000"/>
                      <w:sz w:val="13"/>
                      <w:szCs w:val="13"/>
                    </w:rPr>
                    <w:t>-0.78</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5" w14:textId="77777777" w:rsidR="000A4326" w:rsidRDefault="00841024" w:rsidP="007A4D7C">
                  <w:pPr>
                    <w:spacing w:after="0"/>
                    <w:jc w:val="right"/>
                    <w:rPr>
                      <w:rFonts w:ascii="Arial" w:hAnsi="Arial" w:cs="Arial"/>
                      <w:color w:val="000000"/>
                      <w:sz w:val="13"/>
                      <w:szCs w:val="13"/>
                    </w:rPr>
                  </w:pPr>
                  <w:r>
                    <w:rPr>
                      <w:rFonts w:ascii="Arial" w:hAnsi="Arial" w:cs="Arial"/>
                      <w:color w:val="000000"/>
                      <w:sz w:val="13"/>
                      <w:szCs w:val="13"/>
                    </w:rPr>
                    <w:t>-0.64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6" w14:textId="77777777" w:rsidR="000A4326" w:rsidRDefault="0043685C" w:rsidP="007A4D7C">
                  <w:pPr>
                    <w:spacing w:after="0"/>
                    <w:jc w:val="right"/>
                    <w:rPr>
                      <w:rFonts w:ascii="Arial" w:hAnsi="Arial" w:cs="Arial"/>
                      <w:color w:val="000000"/>
                      <w:sz w:val="13"/>
                      <w:szCs w:val="13"/>
                    </w:rPr>
                  </w:pPr>
                  <w:r>
                    <w:rPr>
                      <w:rFonts w:ascii="Arial" w:hAnsi="Arial" w:cs="Arial"/>
                      <w:color w:val="000000"/>
                      <w:sz w:val="13"/>
                      <w:szCs w:val="13"/>
                    </w:rPr>
                    <w:t>-0.59</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7" w14:textId="1BC4DEC3" w:rsidR="000A4326" w:rsidRDefault="0043685C" w:rsidP="000410E6">
                  <w:pPr>
                    <w:spacing w:after="0"/>
                    <w:jc w:val="right"/>
                    <w:rPr>
                      <w:rFonts w:ascii="Arial" w:hAnsi="Arial" w:cs="Arial"/>
                      <w:color w:val="000000"/>
                      <w:sz w:val="13"/>
                      <w:szCs w:val="13"/>
                    </w:rPr>
                  </w:pPr>
                  <w:r w:rsidRPr="000410E6">
                    <w:rPr>
                      <w:rFonts w:ascii="Arial" w:hAnsi="Arial" w:cs="Arial"/>
                      <w:color w:val="000000"/>
                      <w:sz w:val="13"/>
                      <w:szCs w:val="13"/>
                    </w:rPr>
                    <w:t>2.3</w:t>
                  </w:r>
                  <w:r w:rsidR="000410E6" w:rsidRPr="000410E6">
                    <w:rPr>
                      <w:rFonts w:ascii="Arial" w:hAnsi="Arial" w:cs="Arial"/>
                      <w:color w:val="000000"/>
                      <w:sz w:val="13"/>
                      <w:szCs w:val="13"/>
                    </w:rPr>
                    <w:t>6</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8" w14:textId="7AE3E71C" w:rsidR="000A4326" w:rsidRDefault="000B70EF" w:rsidP="000B70EF">
                  <w:pPr>
                    <w:spacing w:after="0"/>
                    <w:jc w:val="right"/>
                    <w:rPr>
                      <w:rFonts w:ascii="Arial" w:hAnsi="Arial" w:cs="Arial"/>
                      <w:color w:val="000000"/>
                      <w:sz w:val="13"/>
                      <w:szCs w:val="13"/>
                    </w:rPr>
                  </w:pPr>
                  <w:r>
                    <w:rPr>
                      <w:rFonts w:ascii="Arial" w:hAnsi="Arial" w:cs="Arial"/>
                      <w:color w:val="000000"/>
                      <w:sz w:val="13"/>
                      <w:szCs w:val="13"/>
                    </w:rPr>
                    <w:t>-3.48</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9" w14:textId="14F7CC10" w:rsidR="000A4326" w:rsidRDefault="000B70EF" w:rsidP="000B70EF">
                  <w:pPr>
                    <w:spacing w:after="0"/>
                    <w:jc w:val="right"/>
                    <w:rPr>
                      <w:rFonts w:ascii="Arial" w:hAnsi="Arial" w:cs="Arial"/>
                      <w:color w:val="000000"/>
                      <w:sz w:val="13"/>
                      <w:szCs w:val="13"/>
                    </w:rPr>
                  </w:pPr>
                  <w:r>
                    <w:rPr>
                      <w:rFonts w:ascii="Arial" w:hAnsi="Arial" w:cs="Arial"/>
                      <w:color w:val="000000"/>
                      <w:sz w:val="13"/>
                      <w:szCs w:val="13"/>
                    </w:rPr>
                    <w:t>-1.42</w:t>
                  </w:r>
                </w:p>
              </w:tc>
            </w:tr>
            <w:tr w:rsidR="003A62D6" w:rsidRPr="008855C6" w14:paraId="6F11091F" w14:textId="77777777" w:rsidTr="00842179">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4AD80DAD" w14:textId="618EBEA9" w:rsidR="003A62D6" w:rsidRPr="008855C6" w:rsidRDefault="003A62D6" w:rsidP="003A62D6">
                  <w:pPr>
                    <w:spacing w:after="0"/>
                    <w:jc w:val="center"/>
                    <w:rPr>
                      <w:rFonts w:ascii="Arial" w:hAnsi="Arial" w:cs="Arial"/>
                      <w:b/>
                      <w:bCs/>
                      <w:color w:val="000000"/>
                      <w:sz w:val="13"/>
                      <w:szCs w:val="13"/>
                    </w:rPr>
                  </w:pPr>
                  <w:r w:rsidRPr="008855C6">
                    <w:rPr>
                      <w:rFonts w:ascii="Arial" w:hAnsi="Arial" w:cs="Arial"/>
                      <w:b/>
                      <w:bCs/>
                      <w:color w:val="000000"/>
                      <w:sz w:val="13"/>
                      <w:szCs w:val="13"/>
                    </w:rPr>
                    <w:t>2016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D918754" w14:textId="7A80F518" w:rsidR="003A62D6" w:rsidRPr="008855C6" w:rsidRDefault="003A62D6" w:rsidP="00B4506C">
                  <w:pPr>
                    <w:spacing w:after="0"/>
                    <w:jc w:val="right"/>
                    <w:rPr>
                      <w:rFonts w:ascii="Arial" w:hAnsi="Arial" w:cs="Arial"/>
                      <w:color w:val="000000"/>
                      <w:sz w:val="13"/>
                      <w:szCs w:val="13"/>
                    </w:rPr>
                  </w:pPr>
                  <w:r w:rsidRPr="008855C6">
                    <w:rPr>
                      <w:rFonts w:ascii="Arial" w:hAnsi="Arial" w:cs="Arial"/>
                      <w:color w:val="000000"/>
                      <w:sz w:val="13"/>
                      <w:szCs w:val="13"/>
                    </w:rPr>
                    <w:t>0.7</w:t>
                  </w:r>
                  <w:r w:rsidR="00B4506C" w:rsidRPr="008855C6">
                    <w:rPr>
                      <w:rFonts w:ascii="Arial" w:hAnsi="Arial" w:cs="Arial"/>
                      <w:color w:val="000000"/>
                      <w:sz w:val="13"/>
                      <w:szCs w:val="13"/>
                    </w:rPr>
                    <w:t>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301876B" w14:textId="0C4834F5" w:rsidR="003A62D6" w:rsidRPr="008855C6" w:rsidRDefault="007A0982" w:rsidP="007A0982">
                  <w:pPr>
                    <w:spacing w:after="0"/>
                    <w:jc w:val="right"/>
                    <w:rPr>
                      <w:rFonts w:ascii="Arial" w:hAnsi="Arial" w:cs="Arial"/>
                      <w:color w:val="000000"/>
                      <w:sz w:val="13"/>
                      <w:szCs w:val="13"/>
                    </w:rPr>
                  </w:pPr>
                  <w:r>
                    <w:rPr>
                      <w:rFonts w:ascii="Arial" w:hAnsi="Arial" w:cs="Arial"/>
                      <w:color w:val="000000"/>
                      <w:sz w:val="13"/>
                      <w:szCs w:val="13"/>
                    </w:rPr>
                    <w:t>0.73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CB4EEE8" w14:textId="71C788F0" w:rsidR="003A62D6" w:rsidRPr="008855C6" w:rsidRDefault="0071161F" w:rsidP="002E377D">
                  <w:pPr>
                    <w:spacing w:after="0"/>
                    <w:jc w:val="right"/>
                    <w:rPr>
                      <w:rFonts w:ascii="Arial" w:hAnsi="Arial" w:cs="Arial"/>
                      <w:color w:val="000000"/>
                      <w:sz w:val="13"/>
                      <w:szCs w:val="13"/>
                    </w:rPr>
                  </w:pPr>
                  <w:r>
                    <w:rPr>
                      <w:rFonts w:ascii="Arial" w:hAnsi="Arial" w:cs="Arial"/>
                      <w:color w:val="000000"/>
                      <w:sz w:val="13"/>
                      <w:szCs w:val="13"/>
                    </w:rPr>
                    <w:t>-1.</w:t>
                  </w:r>
                  <w:r w:rsidR="002E377D">
                    <w:rPr>
                      <w:rFonts w:ascii="Arial" w:hAnsi="Arial" w:cs="Arial"/>
                      <w:color w:val="000000"/>
                      <w:sz w:val="13"/>
                      <w:szCs w:val="13"/>
                    </w:rPr>
                    <w:t>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43E2EB9" w14:textId="526ED36D" w:rsidR="003A62D6" w:rsidRPr="008855C6" w:rsidRDefault="00EC76E5" w:rsidP="00AE4FE8">
                  <w:pPr>
                    <w:spacing w:after="0"/>
                    <w:jc w:val="right"/>
                    <w:rPr>
                      <w:rFonts w:ascii="Arial" w:hAnsi="Arial" w:cs="Arial"/>
                      <w:color w:val="000000"/>
                      <w:sz w:val="13"/>
                      <w:szCs w:val="13"/>
                    </w:rPr>
                  </w:pPr>
                  <w:r>
                    <w:rPr>
                      <w:rFonts w:ascii="Arial" w:hAnsi="Arial" w:cs="Arial"/>
                      <w:color w:val="000000"/>
                      <w:sz w:val="13"/>
                      <w:szCs w:val="13"/>
                    </w:rPr>
                    <w:t>-0.8</w:t>
                  </w:r>
                  <w:r w:rsidR="00AE4FE8">
                    <w:rPr>
                      <w:rFonts w:ascii="Arial" w:hAnsi="Arial" w:cs="Arial"/>
                      <w:color w:val="000000"/>
                      <w:sz w:val="13"/>
                      <w:szCs w:val="13"/>
                    </w:rPr>
                    <w:t>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0932D07" w14:textId="27E4D3E0" w:rsidR="003A62D6" w:rsidRPr="008855C6" w:rsidRDefault="00C67685" w:rsidP="00C67685">
                  <w:pPr>
                    <w:spacing w:after="0"/>
                    <w:jc w:val="right"/>
                    <w:rPr>
                      <w:rFonts w:ascii="Arial" w:hAnsi="Arial" w:cs="Arial"/>
                      <w:color w:val="000000"/>
                      <w:sz w:val="13"/>
                      <w:szCs w:val="13"/>
                    </w:rPr>
                  </w:pPr>
                  <w:r>
                    <w:rPr>
                      <w:rFonts w:ascii="Arial" w:hAnsi="Arial" w:cs="Arial"/>
                      <w:color w:val="000000"/>
                      <w:sz w:val="13"/>
                      <w:szCs w:val="13"/>
                    </w:rPr>
                    <w:t>-0.28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9331367" w14:textId="1397726E" w:rsidR="003A62D6" w:rsidRPr="008855C6" w:rsidRDefault="006643C5" w:rsidP="006643C5">
                  <w:pPr>
                    <w:spacing w:after="0"/>
                    <w:jc w:val="right"/>
                    <w:rPr>
                      <w:rFonts w:ascii="Arial" w:hAnsi="Arial" w:cs="Arial"/>
                      <w:color w:val="000000"/>
                      <w:sz w:val="13"/>
                      <w:szCs w:val="13"/>
                    </w:rPr>
                  </w:pPr>
                  <w:r>
                    <w:rPr>
                      <w:rFonts w:ascii="Arial" w:hAnsi="Arial" w:cs="Arial"/>
                      <w:color w:val="000000"/>
                      <w:sz w:val="13"/>
                      <w:szCs w:val="13"/>
                    </w:rPr>
                    <w:t>3.61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77C1031" w14:textId="6DE2E04C" w:rsidR="003A62D6" w:rsidRPr="008855C6" w:rsidRDefault="00062454" w:rsidP="003A62D6">
                  <w:pPr>
                    <w:spacing w:after="0"/>
                    <w:jc w:val="right"/>
                    <w:rPr>
                      <w:rFonts w:ascii="Arial" w:hAnsi="Arial" w:cs="Arial"/>
                      <w:color w:val="000000"/>
                      <w:sz w:val="13"/>
                      <w:szCs w:val="13"/>
                    </w:rPr>
                  </w:pPr>
                  <w:r>
                    <w:rPr>
                      <w:rFonts w:ascii="Arial" w:hAnsi="Arial" w:cs="Arial"/>
                      <w:color w:val="000000"/>
                      <w:sz w:val="13"/>
                      <w:szCs w:val="13"/>
                    </w:rPr>
                    <w:t>-0.99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D85E880" w14:textId="23915E92" w:rsidR="003A62D6" w:rsidRPr="008855C6" w:rsidRDefault="00987BE3" w:rsidP="003A62D6">
                  <w:pPr>
                    <w:spacing w:after="0"/>
                    <w:jc w:val="right"/>
                    <w:rPr>
                      <w:rFonts w:ascii="Arial" w:hAnsi="Arial" w:cs="Arial"/>
                      <w:color w:val="000000"/>
                      <w:sz w:val="13"/>
                      <w:szCs w:val="13"/>
                    </w:rPr>
                  </w:pPr>
                  <w:r>
                    <w:rPr>
                      <w:rFonts w:ascii="Arial" w:hAnsi="Arial" w:cs="Arial"/>
                      <w:color w:val="000000"/>
                      <w:sz w:val="13"/>
                      <w:szCs w:val="13"/>
                    </w:rPr>
                    <w:t>-0.17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5355DA3" w14:textId="63EB7D87" w:rsidR="003A62D6" w:rsidRPr="008855C6" w:rsidRDefault="00727C4F" w:rsidP="003A62D6">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1B56245D" w14:textId="02294B5F" w:rsidR="003A62D6" w:rsidRPr="008855C6" w:rsidRDefault="000C27FC" w:rsidP="003A62D6">
                  <w:pPr>
                    <w:spacing w:after="0"/>
                    <w:jc w:val="right"/>
                    <w:rPr>
                      <w:rFonts w:ascii="Arial" w:hAnsi="Arial" w:cs="Arial"/>
                      <w:color w:val="000000"/>
                      <w:sz w:val="13"/>
                      <w:szCs w:val="13"/>
                    </w:rPr>
                  </w:pPr>
                  <w:r>
                    <w:rPr>
                      <w:rFonts w:ascii="Arial" w:hAnsi="Arial" w:cs="Arial"/>
                      <w:color w:val="000000"/>
                      <w:sz w:val="13"/>
                      <w:szCs w:val="13"/>
                    </w:rPr>
                    <w:t>0.77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2BDB7B6" w14:textId="44774287" w:rsidR="003A62D6" w:rsidRPr="008855C6" w:rsidRDefault="00F93D7A" w:rsidP="003A62D6">
                  <w:pPr>
                    <w:spacing w:after="0"/>
                    <w:jc w:val="right"/>
                    <w:rPr>
                      <w:rFonts w:ascii="Arial" w:hAnsi="Arial" w:cs="Arial"/>
                      <w:color w:val="000000"/>
                      <w:sz w:val="13"/>
                      <w:szCs w:val="13"/>
                    </w:rPr>
                  </w:pPr>
                  <w:r>
                    <w:rPr>
                      <w:rFonts w:ascii="Arial" w:hAnsi="Arial" w:cs="Arial"/>
                      <w:color w:val="000000"/>
                      <w:sz w:val="13"/>
                      <w:szCs w:val="13"/>
                    </w:rPr>
                    <w:t>5.02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33D963C" w14:textId="23B60A7A" w:rsidR="003A62D6" w:rsidRPr="008855C6" w:rsidRDefault="002C35BE" w:rsidP="003A62D6">
                  <w:pPr>
                    <w:spacing w:after="0"/>
                    <w:jc w:val="right"/>
                    <w:rPr>
                      <w:rFonts w:ascii="Arial" w:hAnsi="Arial" w:cs="Arial"/>
                      <w:color w:val="000000"/>
                      <w:sz w:val="13"/>
                      <w:szCs w:val="13"/>
                    </w:rPr>
                  </w:pPr>
                  <w:r>
                    <w:rPr>
                      <w:rFonts w:ascii="Arial" w:hAnsi="Arial" w:cs="Arial"/>
                      <w:color w:val="000000"/>
                      <w:sz w:val="13"/>
                      <w:szCs w:val="13"/>
                    </w:rPr>
                    <w:t>0.19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CB962D2" w14:textId="3F2A266A" w:rsidR="003A62D6" w:rsidRPr="008855C6" w:rsidRDefault="002C35BE" w:rsidP="006643C5">
                  <w:pPr>
                    <w:spacing w:after="0"/>
                    <w:jc w:val="right"/>
                    <w:rPr>
                      <w:rFonts w:ascii="Arial" w:hAnsi="Arial" w:cs="Arial"/>
                      <w:color w:val="000000"/>
                      <w:sz w:val="13"/>
                      <w:szCs w:val="13"/>
                    </w:rPr>
                  </w:pPr>
                  <w:r>
                    <w:rPr>
                      <w:rFonts w:ascii="Arial" w:hAnsi="Arial" w:cs="Arial"/>
                      <w:color w:val="000000"/>
                      <w:sz w:val="13"/>
                      <w:szCs w:val="13"/>
                    </w:rPr>
                    <w:t>6.6</w:t>
                  </w:r>
                  <w:r w:rsidR="00F93D7A">
                    <w:rPr>
                      <w:rFonts w:ascii="Arial" w:hAnsi="Arial" w:cs="Arial"/>
                      <w:color w:val="000000"/>
                      <w:sz w:val="13"/>
                      <w:szCs w:val="13"/>
                    </w:rPr>
                    <w:t>3</w:t>
                  </w:r>
                </w:p>
              </w:tc>
            </w:tr>
            <w:tr w:rsidR="00150045" w:rsidRPr="008855C6" w14:paraId="15EB7393" w14:textId="77777777" w:rsidTr="00842179">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ABADC0C" w14:textId="04BD986F" w:rsidR="00150045" w:rsidRPr="008855C6" w:rsidRDefault="00150045" w:rsidP="003A62D6">
                  <w:pPr>
                    <w:spacing w:after="0"/>
                    <w:jc w:val="center"/>
                    <w:rPr>
                      <w:rFonts w:ascii="Arial" w:hAnsi="Arial" w:cs="Arial"/>
                      <w:b/>
                      <w:bCs/>
                      <w:color w:val="000000"/>
                      <w:sz w:val="13"/>
                      <w:szCs w:val="13"/>
                    </w:rPr>
                  </w:pPr>
                  <w:r>
                    <w:rPr>
                      <w:rFonts w:ascii="Arial" w:hAnsi="Arial" w:cs="Arial"/>
                      <w:b/>
                      <w:bCs/>
                      <w:color w:val="000000"/>
                      <w:sz w:val="13"/>
                      <w:szCs w:val="13"/>
                    </w:rPr>
                    <w:t>2017</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D987FEB" w14:textId="6C9CF31F" w:rsidR="00150045" w:rsidRPr="008855C6" w:rsidRDefault="00F82F05" w:rsidP="00B4506C">
                  <w:pPr>
                    <w:spacing w:after="0"/>
                    <w:jc w:val="right"/>
                    <w:rPr>
                      <w:rFonts w:ascii="Arial" w:hAnsi="Arial" w:cs="Arial"/>
                      <w:color w:val="000000"/>
                      <w:sz w:val="13"/>
                      <w:szCs w:val="13"/>
                    </w:rPr>
                  </w:pPr>
                  <w:r>
                    <w:rPr>
                      <w:rFonts w:ascii="Arial" w:hAnsi="Arial" w:cs="Arial"/>
                      <w:color w:val="000000"/>
                      <w:sz w:val="13"/>
                      <w:szCs w:val="13"/>
                    </w:rPr>
                    <w:t>-1.47</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E701FC2" w14:textId="62735366" w:rsidR="00150045" w:rsidRDefault="004825EB" w:rsidP="007A0982">
                  <w:pPr>
                    <w:spacing w:after="0"/>
                    <w:jc w:val="right"/>
                    <w:rPr>
                      <w:rFonts w:ascii="Arial" w:hAnsi="Arial" w:cs="Arial"/>
                      <w:color w:val="000000"/>
                      <w:sz w:val="13"/>
                      <w:szCs w:val="13"/>
                    </w:rPr>
                  </w:pPr>
                  <w:r>
                    <w:rPr>
                      <w:rFonts w:ascii="Arial" w:hAnsi="Arial" w:cs="Arial"/>
                      <w:color w:val="000000"/>
                      <w:sz w:val="13"/>
                      <w:szCs w:val="13"/>
                    </w:rPr>
                    <w:t>1.91</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4E7F1098" w14:textId="3C537E16" w:rsidR="00150045" w:rsidRDefault="00CA2956" w:rsidP="002E377D">
                  <w:pPr>
                    <w:spacing w:after="0"/>
                    <w:jc w:val="right"/>
                    <w:rPr>
                      <w:rFonts w:ascii="Arial" w:hAnsi="Arial" w:cs="Arial"/>
                      <w:color w:val="000000"/>
                      <w:sz w:val="13"/>
                      <w:szCs w:val="13"/>
                    </w:rPr>
                  </w:pPr>
                  <w:r>
                    <w:rPr>
                      <w:rFonts w:ascii="Arial" w:hAnsi="Arial" w:cs="Arial"/>
                      <w:color w:val="000000"/>
                      <w:sz w:val="13"/>
                      <w:szCs w:val="13"/>
                    </w:rPr>
                    <w:t>-2.84</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BAC7D1E" w14:textId="77777777" w:rsidR="00150045" w:rsidRDefault="00150045" w:rsidP="00AE4FE8">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348E94D" w14:textId="77777777" w:rsidR="00150045" w:rsidRDefault="00150045" w:rsidP="00C6768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F2AFD20" w14:textId="77777777" w:rsidR="00150045" w:rsidRDefault="00150045" w:rsidP="006643C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F3D7968"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467813F"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1D6081B"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B01D2D0"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001820E"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4E71CBE"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1466DB4" w14:textId="64C0DEED" w:rsidR="00150045" w:rsidRDefault="00CA2956" w:rsidP="006643C5">
                  <w:pPr>
                    <w:spacing w:after="0"/>
                    <w:jc w:val="right"/>
                    <w:rPr>
                      <w:rFonts w:ascii="Arial" w:hAnsi="Arial" w:cs="Arial"/>
                      <w:color w:val="000000"/>
                      <w:sz w:val="13"/>
                      <w:szCs w:val="13"/>
                    </w:rPr>
                  </w:pPr>
                  <w:r>
                    <w:rPr>
                      <w:rFonts w:ascii="Arial" w:hAnsi="Arial" w:cs="Arial"/>
                      <w:color w:val="000000"/>
                      <w:sz w:val="13"/>
                      <w:szCs w:val="13"/>
                    </w:rPr>
                    <w:t>-2.44</w:t>
                  </w:r>
                </w:p>
              </w:tc>
            </w:tr>
          </w:tbl>
          <w:p w14:paraId="0FDE930B" w14:textId="77777777" w:rsidR="007A4D7C" w:rsidRDefault="007A4D7C" w:rsidP="007A4D7C">
            <w:pPr>
              <w:spacing w:after="120" w:line="288" w:lineRule="auto"/>
              <w:jc w:val="both"/>
              <w:rPr>
                <w:rFonts w:ascii="Arial" w:hAnsi="Arial" w:cs="Arial"/>
                <w:sz w:val="20"/>
                <w:szCs w:val="20"/>
              </w:rPr>
            </w:pPr>
          </w:p>
        </w:tc>
      </w:tr>
      <w:tr w:rsidR="007A4D7C" w14:paraId="0FDE93A6" w14:textId="77777777" w:rsidTr="00FF2A1B">
        <w:trPr>
          <w:trHeight w:val="57"/>
        </w:trPr>
        <w:tc>
          <w:tcPr>
            <w:tcW w:w="1809" w:type="dxa"/>
            <w:vMerge/>
          </w:tcPr>
          <w:p w14:paraId="0FDE930D"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tbl>
            <w:tblPr>
              <w:tblW w:w="7100" w:type="dxa"/>
              <w:tblLayout w:type="fixed"/>
              <w:tblCellMar>
                <w:top w:w="57" w:type="dxa"/>
                <w:left w:w="28" w:type="dxa"/>
                <w:right w:w="85" w:type="dxa"/>
              </w:tblCellMar>
              <w:tblLook w:val="04A0" w:firstRow="1" w:lastRow="0" w:firstColumn="1" w:lastColumn="0" w:noHBand="0" w:noVBand="1"/>
            </w:tblPr>
            <w:tblGrid>
              <w:gridCol w:w="600"/>
              <w:gridCol w:w="500"/>
              <w:gridCol w:w="500"/>
              <w:gridCol w:w="500"/>
              <w:gridCol w:w="500"/>
              <w:gridCol w:w="500"/>
              <w:gridCol w:w="500"/>
              <w:gridCol w:w="500"/>
              <w:gridCol w:w="500"/>
              <w:gridCol w:w="500"/>
              <w:gridCol w:w="500"/>
              <w:gridCol w:w="500"/>
              <w:gridCol w:w="500"/>
              <w:gridCol w:w="500"/>
            </w:tblGrid>
            <w:tr w:rsidR="000B2452" w14:paraId="0FDE931D" w14:textId="77777777" w:rsidTr="00902AE8">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0F"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EUR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0"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Jan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1"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Feb</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2"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Mar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3"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Apr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4"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May</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5"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Jun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6"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Jul</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7"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Aug</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8"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Sep</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9"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Oct</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A"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Nov</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B"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Dec</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C"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YTD</w:t>
                  </w:r>
                </w:p>
              </w:tc>
            </w:tr>
            <w:tr w:rsidR="000B2452" w14:paraId="0FDE932C"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1E"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2007</w:t>
                  </w:r>
                </w:p>
              </w:tc>
              <w:tc>
                <w:tcPr>
                  <w:tcW w:w="500" w:type="dxa"/>
                  <w:tcBorders>
                    <w:top w:val="nil"/>
                    <w:left w:val="nil"/>
                    <w:bottom w:val="single" w:sz="4" w:space="0" w:color="auto"/>
                    <w:right w:val="single" w:sz="4" w:space="0" w:color="auto"/>
                  </w:tcBorders>
                  <w:shd w:val="clear" w:color="auto" w:fill="auto"/>
                  <w:noWrap/>
                  <w:vAlign w:val="center"/>
                  <w:hideMark/>
                </w:tcPr>
                <w:p w14:paraId="0FDE931F" w14:textId="77777777" w:rsidR="000B2452" w:rsidRDefault="000B2452" w:rsidP="00902AE8">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320" w14:textId="77777777" w:rsidR="000B2452" w:rsidRDefault="000B2452" w:rsidP="00902AE8">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32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0.05</w:t>
                  </w:r>
                </w:p>
              </w:tc>
              <w:tc>
                <w:tcPr>
                  <w:tcW w:w="500" w:type="dxa"/>
                  <w:tcBorders>
                    <w:top w:val="nil"/>
                    <w:left w:val="nil"/>
                    <w:bottom w:val="single" w:sz="4" w:space="0" w:color="auto"/>
                    <w:right w:val="single" w:sz="4" w:space="0" w:color="auto"/>
                  </w:tcBorders>
                  <w:shd w:val="clear" w:color="auto" w:fill="auto"/>
                  <w:noWrap/>
                  <w:vAlign w:val="center"/>
                  <w:hideMark/>
                </w:tcPr>
                <w:p w14:paraId="0FDE932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0.70</w:t>
                  </w:r>
                </w:p>
              </w:tc>
              <w:tc>
                <w:tcPr>
                  <w:tcW w:w="500" w:type="dxa"/>
                  <w:tcBorders>
                    <w:top w:val="nil"/>
                    <w:left w:val="nil"/>
                    <w:bottom w:val="single" w:sz="4" w:space="0" w:color="auto"/>
                    <w:right w:val="single" w:sz="4" w:space="0" w:color="auto"/>
                  </w:tcBorders>
                  <w:shd w:val="clear" w:color="auto" w:fill="auto"/>
                  <w:noWrap/>
                  <w:vAlign w:val="center"/>
                  <w:hideMark/>
                </w:tcPr>
                <w:p w14:paraId="0FDE932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0.02</w:t>
                  </w:r>
                </w:p>
              </w:tc>
              <w:tc>
                <w:tcPr>
                  <w:tcW w:w="500" w:type="dxa"/>
                  <w:tcBorders>
                    <w:top w:val="nil"/>
                    <w:left w:val="nil"/>
                    <w:bottom w:val="single" w:sz="4" w:space="0" w:color="auto"/>
                    <w:right w:val="single" w:sz="4" w:space="0" w:color="auto"/>
                  </w:tcBorders>
                  <w:shd w:val="clear" w:color="auto" w:fill="auto"/>
                  <w:noWrap/>
                  <w:vAlign w:val="center"/>
                  <w:hideMark/>
                </w:tcPr>
                <w:p w14:paraId="0FDE932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2.26</w:t>
                  </w:r>
                </w:p>
              </w:tc>
              <w:tc>
                <w:tcPr>
                  <w:tcW w:w="500" w:type="dxa"/>
                  <w:tcBorders>
                    <w:top w:val="nil"/>
                    <w:left w:val="nil"/>
                    <w:bottom w:val="single" w:sz="4" w:space="0" w:color="auto"/>
                    <w:right w:val="single" w:sz="4" w:space="0" w:color="auto"/>
                  </w:tcBorders>
                  <w:shd w:val="clear" w:color="auto" w:fill="auto"/>
                  <w:noWrap/>
                  <w:vAlign w:val="center"/>
                  <w:hideMark/>
                </w:tcPr>
                <w:p w14:paraId="0FDE932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2.43</w:t>
                  </w:r>
                </w:p>
              </w:tc>
              <w:tc>
                <w:tcPr>
                  <w:tcW w:w="500" w:type="dxa"/>
                  <w:tcBorders>
                    <w:top w:val="nil"/>
                    <w:left w:val="nil"/>
                    <w:bottom w:val="single" w:sz="4" w:space="0" w:color="auto"/>
                    <w:right w:val="single" w:sz="4" w:space="0" w:color="auto"/>
                  </w:tcBorders>
                  <w:shd w:val="clear" w:color="auto" w:fill="auto"/>
                  <w:noWrap/>
                  <w:vAlign w:val="center"/>
                  <w:hideMark/>
                </w:tcPr>
                <w:p w14:paraId="0FDE932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3.07</w:t>
                  </w:r>
                </w:p>
              </w:tc>
              <w:tc>
                <w:tcPr>
                  <w:tcW w:w="500" w:type="dxa"/>
                  <w:tcBorders>
                    <w:top w:val="nil"/>
                    <w:left w:val="nil"/>
                    <w:bottom w:val="single" w:sz="4" w:space="0" w:color="auto"/>
                    <w:right w:val="single" w:sz="4" w:space="0" w:color="auto"/>
                  </w:tcBorders>
                  <w:shd w:val="clear" w:color="auto" w:fill="auto"/>
                  <w:noWrap/>
                  <w:vAlign w:val="center"/>
                  <w:hideMark/>
                </w:tcPr>
                <w:p w14:paraId="0FDE932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5.65</w:t>
                  </w:r>
                </w:p>
              </w:tc>
              <w:tc>
                <w:tcPr>
                  <w:tcW w:w="500" w:type="dxa"/>
                  <w:tcBorders>
                    <w:top w:val="nil"/>
                    <w:left w:val="nil"/>
                    <w:bottom w:val="single" w:sz="4" w:space="0" w:color="auto"/>
                    <w:right w:val="single" w:sz="4" w:space="0" w:color="auto"/>
                  </w:tcBorders>
                  <w:shd w:val="clear" w:color="auto" w:fill="auto"/>
                  <w:noWrap/>
                  <w:vAlign w:val="center"/>
                  <w:hideMark/>
                </w:tcPr>
                <w:p w14:paraId="0FDE932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-0.08</w:t>
                  </w:r>
                </w:p>
              </w:tc>
              <w:tc>
                <w:tcPr>
                  <w:tcW w:w="500" w:type="dxa"/>
                  <w:tcBorders>
                    <w:top w:val="nil"/>
                    <w:left w:val="nil"/>
                    <w:bottom w:val="single" w:sz="4" w:space="0" w:color="auto"/>
                    <w:right w:val="single" w:sz="4" w:space="0" w:color="auto"/>
                  </w:tcBorders>
                  <w:shd w:val="clear" w:color="auto" w:fill="auto"/>
                  <w:noWrap/>
                  <w:vAlign w:val="center"/>
                  <w:hideMark/>
                </w:tcPr>
                <w:p w14:paraId="0FDE932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2.85</w:t>
                  </w:r>
                </w:p>
              </w:tc>
              <w:tc>
                <w:tcPr>
                  <w:tcW w:w="500" w:type="dxa"/>
                  <w:tcBorders>
                    <w:top w:val="nil"/>
                    <w:left w:val="nil"/>
                    <w:bottom w:val="single" w:sz="4" w:space="0" w:color="auto"/>
                    <w:right w:val="single" w:sz="4" w:space="0" w:color="auto"/>
                  </w:tcBorders>
                  <w:shd w:val="clear" w:color="auto" w:fill="auto"/>
                  <w:noWrap/>
                  <w:vAlign w:val="center"/>
                  <w:hideMark/>
                </w:tcPr>
                <w:p w14:paraId="0FDE932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0.69</w:t>
                  </w:r>
                </w:p>
              </w:tc>
              <w:tc>
                <w:tcPr>
                  <w:tcW w:w="500" w:type="dxa"/>
                  <w:tcBorders>
                    <w:top w:val="nil"/>
                    <w:left w:val="nil"/>
                    <w:bottom w:val="single" w:sz="4" w:space="0" w:color="auto"/>
                    <w:right w:val="single" w:sz="4" w:space="0" w:color="auto"/>
                  </w:tcBorders>
                  <w:shd w:val="clear" w:color="auto" w:fill="auto"/>
                  <w:noWrap/>
                  <w:vAlign w:val="center"/>
                  <w:hideMark/>
                </w:tcPr>
                <w:p w14:paraId="0FDE932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18.95</w:t>
                  </w:r>
                </w:p>
              </w:tc>
            </w:tr>
            <w:tr w:rsidR="000B2452" w14:paraId="0FDE933B"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2D"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2008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2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9.92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2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6.68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-2.62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-2.34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0.86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2.84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1.28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-3.30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2.79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3.91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21.65</w:t>
                  </w:r>
                </w:p>
              </w:tc>
            </w:tr>
            <w:tr w:rsidR="000B2452" w14:paraId="0FDE934A"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3C"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2009</w:t>
                  </w:r>
                </w:p>
              </w:tc>
              <w:tc>
                <w:tcPr>
                  <w:tcW w:w="500" w:type="dxa"/>
                  <w:tcBorders>
                    <w:top w:val="nil"/>
                    <w:left w:val="nil"/>
                    <w:bottom w:val="single" w:sz="4" w:space="0" w:color="auto"/>
                    <w:right w:val="single" w:sz="4" w:space="0" w:color="auto"/>
                  </w:tcBorders>
                  <w:shd w:val="clear" w:color="auto" w:fill="auto"/>
                  <w:noWrap/>
                  <w:vAlign w:val="center"/>
                  <w:hideMark/>
                </w:tcPr>
                <w:p w14:paraId="0FDE933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5.38</w:t>
                  </w:r>
                </w:p>
              </w:tc>
              <w:tc>
                <w:tcPr>
                  <w:tcW w:w="500" w:type="dxa"/>
                  <w:tcBorders>
                    <w:top w:val="nil"/>
                    <w:left w:val="nil"/>
                    <w:bottom w:val="single" w:sz="4" w:space="0" w:color="auto"/>
                    <w:right w:val="single" w:sz="4" w:space="0" w:color="auto"/>
                  </w:tcBorders>
                  <w:shd w:val="clear" w:color="auto" w:fill="auto"/>
                  <w:noWrap/>
                  <w:vAlign w:val="center"/>
                  <w:hideMark/>
                </w:tcPr>
                <w:p w14:paraId="0FDE933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2.67</w:t>
                  </w:r>
                </w:p>
              </w:tc>
              <w:tc>
                <w:tcPr>
                  <w:tcW w:w="500" w:type="dxa"/>
                  <w:tcBorders>
                    <w:top w:val="nil"/>
                    <w:left w:val="nil"/>
                    <w:bottom w:val="single" w:sz="4" w:space="0" w:color="auto"/>
                    <w:right w:val="single" w:sz="4" w:space="0" w:color="auto"/>
                  </w:tcBorders>
                  <w:shd w:val="clear" w:color="auto" w:fill="auto"/>
                  <w:noWrap/>
                  <w:vAlign w:val="center"/>
                  <w:hideMark/>
                </w:tcPr>
                <w:p w14:paraId="0FDE933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1.32</w:t>
                  </w:r>
                </w:p>
              </w:tc>
              <w:tc>
                <w:tcPr>
                  <w:tcW w:w="500" w:type="dxa"/>
                  <w:tcBorders>
                    <w:top w:val="nil"/>
                    <w:left w:val="nil"/>
                    <w:bottom w:val="single" w:sz="4" w:space="0" w:color="auto"/>
                    <w:right w:val="single" w:sz="4" w:space="0" w:color="auto"/>
                  </w:tcBorders>
                  <w:shd w:val="clear" w:color="auto" w:fill="auto"/>
                  <w:noWrap/>
                  <w:vAlign w:val="center"/>
                  <w:hideMark/>
                </w:tcPr>
                <w:p w14:paraId="0FDE934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0.14</w:t>
                  </w:r>
                </w:p>
              </w:tc>
              <w:tc>
                <w:tcPr>
                  <w:tcW w:w="500" w:type="dxa"/>
                  <w:tcBorders>
                    <w:top w:val="nil"/>
                    <w:left w:val="nil"/>
                    <w:bottom w:val="single" w:sz="4" w:space="0" w:color="auto"/>
                    <w:right w:val="single" w:sz="4" w:space="0" w:color="auto"/>
                  </w:tcBorders>
                  <w:shd w:val="clear" w:color="auto" w:fill="auto"/>
                  <w:noWrap/>
                  <w:vAlign w:val="center"/>
                  <w:hideMark/>
                </w:tcPr>
                <w:p w14:paraId="0FDE934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3.12</w:t>
                  </w:r>
                </w:p>
              </w:tc>
              <w:tc>
                <w:tcPr>
                  <w:tcW w:w="500" w:type="dxa"/>
                  <w:tcBorders>
                    <w:top w:val="nil"/>
                    <w:left w:val="nil"/>
                    <w:bottom w:val="single" w:sz="4" w:space="0" w:color="auto"/>
                    <w:right w:val="single" w:sz="4" w:space="0" w:color="auto"/>
                  </w:tcBorders>
                  <w:shd w:val="clear" w:color="auto" w:fill="auto"/>
                  <w:noWrap/>
                  <w:vAlign w:val="center"/>
                  <w:hideMark/>
                </w:tcPr>
                <w:p w14:paraId="0FDE934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-0.82</w:t>
                  </w:r>
                </w:p>
              </w:tc>
              <w:tc>
                <w:tcPr>
                  <w:tcW w:w="500" w:type="dxa"/>
                  <w:tcBorders>
                    <w:top w:val="nil"/>
                    <w:left w:val="nil"/>
                    <w:bottom w:val="single" w:sz="4" w:space="0" w:color="auto"/>
                    <w:right w:val="single" w:sz="4" w:space="0" w:color="auto"/>
                  </w:tcBorders>
                  <w:shd w:val="clear" w:color="auto" w:fill="auto"/>
                  <w:noWrap/>
                  <w:vAlign w:val="center"/>
                  <w:hideMark/>
                </w:tcPr>
                <w:p w14:paraId="0FDE934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1.33</w:t>
                  </w:r>
                </w:p>
              </w:tc>
              <w:tc>
                <w:tcPr>
                  <w:tcW w:w="500" w:type="dxa"/>
                  <w:tcBorders>
                    <w:top w:val="nil"/>
                    <w:left w:val="nil"/>
                    <w:bottom w:val="single" w:sz="4" w:space="0" w:color="auto"/>
                    <w:right w:val="single" w:sz="4" w:space="0" w:color="auto"/>
                  </w:tcBorders>
                  <w:shd w:val="clear" w:color="auto" w:fill="auto"/>
                  <w:noWrap/>
                  <w:vAlign w:val="center"/>
                  <w:hideMark/>
                </w:tcPr>
                <w:p w14:paraId="0FDE934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0.71</w:t>
                  </w:r>
                </w:p>
              </w:tc>
              <w:tc>
                <w:tcPr>
                  <w:tcW w:w="500" w:type="dxa"/>
                  <w:tcBorders>
                    <w:top w:val="nil"/>
                    <w:left w:val="nil"/>
                    <w:bottom w:val="single" w:sz="4" w:space="0" w:color="auto"/>
                    <w:right w:val="single" w:sz="4" w:space="0" w:color="auto"/>
                  </w:tcBorders>
                  <w:shd w:val="clear" w:color="auto" w:fill="auto"/>
                  <w:noWrap/>
                  <w:vAlign w:val="center"/>
                  <w:hideMark/>
                </w:tcPr>
                <w:p w14:paraId="0FDE934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1.48</w:t>
                  </w:r>
                </w:p>
              </w:tc>
              <w:tc>
                <w:tcPr>
                  <w:tcW w:w="500" w:type="dxa"/>
                  <w:tcBorders>
                    <w:top w:val="nil"/>
                    <w:left w:val="nil"/>
                    <w:bottom w:val="single" w:sz="4" w:space="0" w:color="auto"/>
                    <w:right w:val="single" w:sz="4" w:space="0" w:color="auto"/>
                  </w:tcBorders>
                  <w:shd w:val="clear" w:color="auto" w:fill="auto"/>
                  <w:noWrap/>
                  <w:vAlign w:val="center"/>
                  <w:hideMark/>
                </w:tcPr>
                <w:p w14:paraId="0FDE934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1.05</w:t>
                  </w:r>
                </w:p>
              </w:tc>
              <w:tc>
                <w:tcPr>
                  <w:tcW w:w="500" w:type="dxa"/>
                  <w:tcBorders>
                    <w:top w:val="nil"/>
                    <w:left w:val="nil"/>
                    <w:bottom w:val="single" w:sz="4" w:space="0" w:color="auto"/>
                    <w:right w:val="single" w:sz="4" w:space="0" w:color="auto"/>
                  </w:tcBorders>
                  <w:shd w:val="clear" w:color="auto" w:fill="auto"/>
                  <w:noWrap/>
                  <w:vAlign w:val="center"/>
                  <w:hideMark/>
                </w:tcPr>
                <w:p w14:paraId="0FDE934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0.35</w:t>
                  </w:r>
                </w:p>
              </w:tc>
              <w:tc>
                <w:tcPr>
                  <w:tcW w:w="500" w:type="dxa"/>
                  <w:tcBorders>
                    <w:top w:val="nil"/>
                    <w:left w:val="nil"/>
                    <w:bottom w:val="single" w:sz="4" w:space="0" w:color="auto"/>
                    <w:right w:val="single" w:sz="4" w:space="0" w:color="auto"/>
                  </w:tcBorders>
                  <w:shd w:val="clear" w:color="auto" w:fill="auto"/>
                  <w:noWrap/>
                  <w:vAlign w:val="center"/>
                  <w:hideMark/>
                </w:tcPr>
                <w:p w14:paraId="0FDE934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34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18.36</w:t>
                  </w:r>
                </w:p>
              </w:tc>
            </w:tr>
            <w:tr w:rsidR="000B2452" w14:paraId="0FDE9359"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4B"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4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4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-1.52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4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4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1.48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-1.93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1.25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0.93</w:t>
                  </w:r>
                </w:p>
              </w:tc>
            </w:tr>
            <w:tr w:rsidR="000B2452" w14:paraId="0FDE9368"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5A"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2011</w:t>
                  </w:r>
                </w:p>
              </w:tc>
              <w:tc>
                <w:tcPr>
                  <w:tcW w:w="500" w:type="dxa"/>
                  <w:tcBorders>
                    <w:top w:val="nil"/>
                    <w:left w:val="nil"/>
                    <w:bottom w:val="single" w:sz="4" w:space="0" w:color="auto"/>
                    <w:right w:val="single" w:sz="4" w:space="0" w:color="auto"/>
                  </w:tcBorders>
                  <w:shd w:val="clear" w:color="auto" w:fill="auto"/>
                  <w:noWrap/>
                  <w:vAlign w:val="center"/>
                  <w:hideMark/>
                </w:tcPr>
                <w:p w14:paraId="0FDE935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0.71</w:t>
                  </w:r>
                </w:p>
              </w:tc>
              <w:tc>
                <w:tcPr>
                  <w:tcW w:w="500" w:type="dxa"/>
                  <w:tcBorders>
                    <w:top w:val="nil"/>
                    <w:left w:val="nil"/>
                    <w:bottom w:val="single" w:sz="4" w:space="0" w:color="auto"/>
                    <w:right w:val="single" w:sz="4" w:space="0" w:color="auto"/>
                  </w:tcBorders>
                  <w:shd w:val="clear" w:color="auto" w:fill="auto"/>
                  <w:noWrap/>
                  <w:vAlign w:val="center"/>
                  <w:hideMark/>
                </w:tcPr>
                <w:p w14:paraId="0FDE935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0.57</w:t>
                  </w:r>
                </w:p>
              </w:tc>
              <w:tc>
                <w:tcPr>
                  <w:tcW w:w="500" w:type="dxa"/>
                  <w:tcBorders>
                    <w:top w:val="nil"/>
                    <w:left w:val="nil"/>
                    <w:bottom w:val="single" w:sz="4" w:space="0" w:color="auto"/>
                    <w:right w:val="single" w:sz="4" w:space="0" w:color="auto"/>
                  </w:tcBorders>
                  <w:shd w:val="clear" w:color="auto" w:fill="auto"/>
                  <w:noWrap/>
                  <w:vAlign w:val="center"/>
                  <w:hideMark/>
                </w:tcPr>
                <w:p w14:paraId="0FDE935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0.78</w:t>
                  </w:r>
                </w:p>
              </w:tc>
              <w:tc>
                <w:tcPr>
                  <w:tcW w:w="500" w:type="dxa"/>
                  <w:tcBorders>
                    <w:top w:val="nil"/>
                    <w:left w:val="nil"/>
                    <w:bottom w:val="single" w:sz="4" w:space="0" w:color="auto"/>
                    <w:right w:val="single" w:sz="4" w:space="0" w:color="auto"/>
                  </w:tcBorders>
                  <w:shd w:val="clear" w:color="auto" w:fill="auto"/>
                  <w:noWrap/>
                  <w:vAlign w:val="center"/>
                  <w:hideMark/>
                </w:tcPr>
                <w:p w14:paraId="0FDE935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0.52</w:t>
                  </w:r>
                </w:p>
              </w:tc>
              <w:tc>
                <w:tcPr>
                  <w:tcW w:w="500" w:type="dxa"/>
                  <w:tcBorders>
                    <w:top w:val="nil"/>
                    <w:left w:val="nil"/>
                    <w:bottom w:val="single" w:sz="4" w:space="0" w:color="auto"/>
                    <w:right w:val="single" w:sz="4" w:space="0" w:color="auto"/>
                  </w:tcBorders>
                  <w:shd w:val="clear" w:color="auto" w:fill="auto"/>
                  <w:noWrap/>
                  <w:vAlign w:val="center"/>
                  <w:hideMark/>
                </w:tcPr>
                <w:p w14:paraId="0FDE935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0.65</w:t>
                  </w:r>
                </w:p>
              </w:tc>
              <w:tc>
                <w:tcPr>
                  <w:tcW w:w="500" w:type="dxa"/>
                  <w:tcBorders>
                    <w:top w:val="nil"/>
                    <w:left w:val="nil"/>
                    <w:bottom w:val="single" w:sz="4" w:space="0" w:color="auto"/>
                    <w:right w:val="single" w:sz="4" w:space="0" w:color="auto"/>
                  </w:tcBorders>
                  <w:shd w:val="clear" w:color="auto" w:fill="auto"/>
                  <w:noWrap/>
                  <w:vAlign w:val="center"/>
                  <w:hideMark/>
                </w:tcPr>
                <w:p w14:paraId="0FDE936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-0.49</w:t>
                  </w:r>
                </w:p>
              </w:tc>
              <w:tc>
                <w:tcPr>
                  <w:tcW w:w="500" w:type="dxa"/>
                  <w:tcBorders>
                    <w:top w:val="nil"/>
                    <w:left w:val="nil"/>
                    <w:bottom w:val="single" w:sz="4" w:space="0" w:color="auto"/>
                    <w:right w:val="single" w:sz="4" w:space="0" w:color="auto"/>
                  </w:tcBorders>
                  <w:shd w:val="clear" w:color="auto" w:fill="auto"/>
                  <w:noWrap/>
                  <w:vAlign w:val="center"/>
                  <w:hideMark/>
                </w:tcPr>
                <w:p w14:paraId="0FDE936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2.31</w:t>
                  </w:r>
                </w:p>
              </w:tc>
              <w:tc>
                <w:tcPr>
                  <w:tcW w:w="500" w:type="dxa"/>
                  <w:tcBorders>
                    <w:top w:val="nil"/>
                    <w:left w:val="nil"/>
                    <w:bottom w:val="single" w:sz="4" w:space="0" w:color="auto"/>
                    <w:right w:val="single" w:sz="4" w:space="0" w:color="auto"/>
                  </w:tcBorders>
                  <w:shd w:val="clear" w:color="auto" w:fill="auto"/>
                  <w:noWrap/>
                  <w:vAlign w:val="center"/>
                  <w:hideMark/>
                </w:tcPr>
                <w:p w14:paraId="0FDE936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6.29</w:t>
                  </w:r>
                </w:p>
              </w:tc>
              <w:tc>
                <w:tcPr>
                  <w:tcW w:w="500" w:type="dxa"/>
                  <w:tcBorders>
                    <w:top w:val="nil"/>
                    <w:left w:val="nil"/>
                    <w:bottom w:val="single" w:sz="4" w:space="0" w:color="auto"/>
                    <w:right w:val="single" w:sz="4" w:space="0" w:color="auto"/>
                  </w:tcBorders>
                  <w:shd w:val="clear" w:color="auto" w:fill="auto"/>
                  <w:noWrap/>
                  <w:vAlign w:val="center"/>
                  <w:hideMark/>
                </w:tcPr>
                <w:p w14:paraId="0FDE936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0.42</w:t>
                  </w:r>
                </w:p>
              </w:tc>
              <w:tc>
                <w:tcPr>
                  <w:tcW w:w="500" w:type="dxa"/>
                  <w:tcBorders>
                    <w:top w:val="nil"/>
                    <w:left w:val="nil"/>
                    <w:bottom w:val="single" w:sz="4" w:space="0" w:color="auto"/>
                    <w:right w:val="single" w:sz="4" w:space="0" w:color="auto"/>
                  </w:tcBorders>
                  <w:shd w:val="clear" w:color="auto" w:fill="auto"/>
                  <w:noWrap/>
                  <w:vAlign w:val="center"/>
                  <w:hideMark/>
                </w:tcPr>
                <w:p w14:paraId="0FDE936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-0.69</w:t>
                  </w:r>
                </w:p>
              </w:tc>
              <w:tc>
                <w:tcPr>
                  <w:tcW w:w="500" w:type="dxa"/>
                  <w:tcBorders>
                    <w:top w:val="nil"/>
                    <w:left w:val="nil"/>
                    <w:bottom w:val="single" w:sz="4" w:space="0" w:color="auto"/>
                    <w:right w:val="single" w:sz="4" w:space="0" w:color="auto"/>
                  </w:tcBorders>
                  <w:shd w:val="clear" w:color="auto" w:fill="auto"/>
                  <w:noWrap/>
                  <w:vAlign w:val="center"/>
                  <w:hideMark/>
                </w:tcPr>
                <w:p w14:paraId="0FDE936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1.80</w:t>
                  </w:r>
                </w:p>
              </w:tc>
              <w:tc>
                <w:tcPr>
                  <w:tcW w:w="500" w:type="dxa"/>
                  <w:tcBorders>
                    <w:top w:val="nil"/>
                    <w:left w:val="nil"/>
                    <w:bottom w:val="single" w:sz="4" w:space="0" w:color="auto"/>
                    <w:right w:val="single" w:sz="4" w:space="0" w:color="auto"/>
                  </w:tcBorders>
                  <w:shd w:val="clear" w:color="auto" w:fill="auto"/>
                  <w:noWrap/>
                  <w:vAlign w:val="center"/>
                  <w:hideMark/>
                </w:tcPr>
                <w:p w14:paraId="0FDE936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-0.54</w:t>
                  </w:r>
                </w:p>
              </w:tc>
              <w:tc>
                <w:tcPr>
                  <w:tcW w:w="500" w:type="dxa"/>
                  <w:tcBorders>
                    <w:top w:val="nil"/>
                    <w:left w:val="nil"/>
                    <w:bottom w:val="single" w:sz="4" w:space="0" w:color="auto"/>
                    <w:right w:val="single" w:sz="4" w:space="0" w:color="auto"/>
                  </w:tcBorders>
                  <w:shd w:val="clear" w:color="auto" w:fill="auto"/>
                  <w:noWrap/>
                  <w:vAlign w:val="center"/>
                  <w:hideMark/>
                </w:tcPr>
                <w:p w14:paraId="0FDE936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12.84</w:t>
                  </w:r>
                </w:p>
              </w:tc>
            </w:tr>
            <w:tr w:rsidR="000B2452" w14:paraId="0FDE9377"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69"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0.25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-2.20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2.40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1.94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1.63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3.63</w:t>
                  </w:r>
                </w:p>
              </w:tc>
            </w:tr>
            <w:tr w:rsidR="000B2452" w14:paraId="0FDE9386"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78"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2013</w:t>
                  </w:r>
                </w:p>
              </w:tc>
              <w:tc>
                <w:tcPr>
                  <w:tcW w:w="500" w:type="dxa"/>
                  <w:tcBorders>
                    <w:top w:val="nil"/>
                    <w:left w:val="nil"/>
                    <w:bottom w:val="single" w:sz="4" w:space="0" w:color="auto"/>
                    <w:right w:val="single" w:sz="4" w:space="0" w:color="auto"/>
                  </w:tcBorders>
                  <w:shd w:val="clear" w:color="auto" w:fill="auto"/>
                  <w:noWrap/>
                  <w:vAlign w:val="center"/>
                  <w:hideMark/>
                </w:tcPr>
                <w:p w14:paraId="0FDE937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0.97</w:t>
                  </w:r>
                </w:p>
              </w:tc>
              <w:tc>
                <w:tcPr>
                  <w:tcW w:w="500" w:type="dxa"/>
                  <w:tcBorders>
                    <w:top w:val="nil"/>
                    <w:left w:val="nil"/>
                    <w:bottom w:val="single" w:sz="4" w:space="0" w:color="auto"/>
                    <w:right w:val="single" w:sz="4" w:space="0" w:color="auto"/>
                  </w:tcBorders>
                  <w:shd w:val="clear" w:color="auto" w:fill="auto"/>
                  <w:noWrap/>
                  <w:vAlign w:val="center"/>
                  <w:hideMark/>
                </w:tcPr>
                <w:p w14:paraId="0FDE937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2.38</w:t>
                  </w:r>
                </w:p>
              </w:tc>
              <w:tc>
                <w:tcPr>
                  <w:tcW w:w="500" w:type="dxa"/>
                  <w:tcBorders>
                    <w:top w:val="nil"/>
                    <w:left w:val="nil"/>
                    <w:bottom w:val="single" w:sz="4" w:space="0" w:color="auto"/>
                    <w:right w:val="single" w:sz="4" w:space="0" w:color="auto"/>
                  </w:tcBorders>
                  <w:shd w:val="clear" w:color="auto" w:fill="auto"/>
                  <w:noWrap/>
                  <w:vAlign w:val="center"/>
                  <w:hideMark/>
                </w:tcPr>
                <w:p w14:paraId="0FDE937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0.31</w:t>
                  </w:r>
                </w:p>
              </w:tc>
              <w:tc>
                <w:tcPr>
                  <w:tcW w:w="500" w:type="dxa"/>
                  <w:tcBorders>
                    <w:top w:val="nil"/>
                    <w:left w:val="nil"/>
                    <w:bottom w:val="single" w:sz="4" w:space="0" w:color="auto"/>
                    <w:right w:val="single" w:sz="4" w:space="0" w:color="auto"/>
                  </w:tcBorders>
                  <w:shd w:val="clear" w:color="auto" w:fill="auto"/>
                  <w:noWrap/>
                  <w:vAlign w:val="center"/>
                  <w:hideMark/>
                </w:tcPr>
                <w:p w14:paraId="0FDE937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3.34</w:t>
                  </w:r>
                </w:p>
              </w:tc>
              <w:tc>
                <w:tcPr>
                  <w:tcW w:w="500" w:type="dxa"/>
                  <w:tcBorders>
                    <w:top w:val="nil"/>
                    <w:left w:val="nil"/>
                    <w:bottom w:val="single" w:sz="4" w:space="0" w:color="auto"/>
                    <w:right w:val="single" w:sz="4" w:space="0" w:color="auto"/>
                  </w:tcBorders>
                  <w:shd w:val="clear" w:color="auto" w:fill="auto"/>
                  <w:noWrap/>
                  <w:vAlign w:val="center"/>
                  <w:hideMark/>
                </w:tcPr>
                <w:p w14:paraId="0FDE937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-0.10</w:t>
                  </w:r>
                </w:p>
              </w:tc>
              <w:tc>
                <w:tcPr>
                  <w:tcW w:w="500" w:type="dxa"/>
                  <w:tcBorders>
                    <w:top w:val="nil"/>
                    <w:left w:val="nil"/>
                    <w:bottom w:val="single" w:sz="4" w:space="0" w:color="auto"/>
                    <w:right w:val="single" w:sz="4" w:space="0" w:color="auto"/>
                  </w:tcBorders>
                  <w:shd w:val="clear" w:color="auto" w:fill="auto"/>
                  <w:noWrap/>
                  <w:vAlign w:val="center"/>
                  <w:hideMark/>
                </w:tcPr>
                <w:p w14:paraId="0FDE937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-2.98</w:t>
                  </w:r>
                </w:p>
              </w:tc>
              <w:tc>
                <w:tcPr>
                  <w:tcW w:w="500" w:type="dxa"/>
                  <w:tcBorders>
                    <w:top w:val="nil"/>
                    <w:left w:val="nil"/>
                    <w:bottom w:val="single" w:sz="4" w:space="0" w:color="auto"/>
                    <w:right w:val="single" w:sz="4" w:space="0" w:color="auto"/>
                  </w:tcBorders>
                  <w:shd w:val="clear" w:color="auto" w:fill="auto"/>
                  <w:noWrap/>
                  <w:vAlign w:val="center"/>
                  <w:hideMark/>
                </w:tcPr>
                <w:p w14:paraId="0FDE937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-0.82</w:t>
                  </w:r>
                </w:p>
              </w:tc>
              <w:tc>
                <w:tcPr>
                  <w:tcW w:w="500" w:type="dxa"/>
                  <w:tcBorders>
                    <w:top w:val="nil"/>
                    <w:left w:val="nil"/>
                    <w:bottom w:val="single" w:sz="4" w:space="0" w:color="auto"/>
                    <w:right w:val="single" w:sz="4" w:space="0" w:color="auto"/>
                  </w:tcBorders>
                  <w:shd w:val="clear" w:color="auto" w:fill="auto"/>
                  <w:noWrap/>
                  <w:vAlign w:val="center"/>
                  <w:hideMark/>
                </w:tcPr>
                <w:p w14:paraId="0FDE938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-1.55</w:t>
                  </w:r>
                </w:p>
              </w:tc>
              <w:tc>
                <w:tcPr>
                  <w:tcW w:w="500" w:type="dxa"/>
                  <w:tcBorders>
                    <w:top w:val="nil"/>
                    <w:left w:val="nil"/>
                    <w:bottom w:val="single" w:sz="4" w:space="0" w:color="auto"/>
                    <w:right w:val="single" w:sz="4" w:space="0" w:color="auto"/>
                  </w:tcBorders>
                  <w:shd w:val="clear" w:color="auto" w:fill="auto"/>
                  <w:noWrap/>
                  <w:vAlign w:val="center"/>
                  <w:hideMark/>
                </w:tcPr>
                <w:p w14:paraId="0FDE938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0.01</w:t>
                  </w:r>
                </w:p>
              </w:tc>
              <w:tc>
                <w:tcPr>
                  <w:tcW w:w="500" w:type="dxa"/>
                  <w:tcBorders>
                    <w:top w:val="nil"/>
                    <w:left w:val="nil"/>
                    <w:bottom w:val="single" w:sz="4" w:space="0" w:color="auto"/>
                    <w:right w:val="single" w:sz="4" w:space="0" w:color="auto"/>
                  </w:tcBorders>
                  <w:shd w:val="clear" w:color="auto" w:fill="auto"/>
                  <w:noWrap/>
                  <w:vAlign w:val="center"/>
                  <w:hideMark/>
                </w:tcPr>
                <w:p w14:paraId="0FDE938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-0.53</w:t>
                  </w:r>
                </w:p>
              </w:tc>
              <w:tc>
                <w:tcPr>
                  <w:tcW w:w="500" w:type="dxa"/>
                  <w:tcBorders>
                    <w:top w:val="nil"/>
                    <w:left w:val="nil"/>
                    <w:bottom w:val="single" w:sz="4" w:space="0" w:color="auto"/>
                    <w:right w:val="single" w:sz="4" w:space="0" w:color="auto"/>
                  </w:tcBorders>
                  <w:shd w:val="clear" w:color="auto" w:fill="auto"/>
                  <w:noWrap/>
                  <w:vAlign w:val="center"/>
                  <w:hideMark/>
                </w:tcPr>
                <w:p w14:paraId="0FDE938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1.34</w:t>
                  </w:r>
                </w:p>
              </w:tc>
              <w:tc>
                <w:tcPr>
                  <w:tcW w:w="500" w:type="dxa"/>
                  <w:tcBorders>
                    <w:top w:val="nil"/>
                    <w:left w:val="nil"/>
                    <w:bottom w:val="single" w:sz="4" w:space="0" w:color="auto"/>
                    <w:right w:val="single" w:sz="4" w:space="0" w:color="auto"/>
                  </w:tcBorders>
                  <w:shd w:val="clear" w:color="auto" w:fill="auto"/>
                  <w:noWrap/>
                  <w:vAlign w:val="center"/>
                  <w:hideMark/>
                </w:tcPr>
                <w:p w14:paraId="0FDE938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nil"/>
                    <w:left w:val="nil"/>
                    <w:bottom w:val="single" w:sz="4" w:space="0" w:color="auto"/>
                    <w:right w:val="single" w:sz="4" w:space="0" w:color="auto"/>
                  </w:tcBorders>
                  <w:shd w:val="clear" w:color="auto" w:fill="auto"/>
                  <w:noWrap/>
                  <w:vAlign w:val="center"/>
                  <w:hideMark/>
                </w:tcPr>
                <w:p w14:paraId="0FDE938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2.62</w:t>
                  </w:r>
                </w:p>
              </w:tc>
            </w:tr>
            <w:tr w:rsidR="000B2452" w14:paraId="0FDE9395" w14:textId="77777777" w:rsidTr="000A4326">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87"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-1.40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-1.06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0.18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9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3.88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9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9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393" w14:textId="77777777" w:rsidR="000B2452" w:rsidRDefault="00674259" w:rsidP="00902AE8">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394" w14:textId="77777777" w:rsidR="000B2452" w:rsidRDefault="00674259" w:rsidP="00902AE8">
                  <w:pPr>
                    <w:spacing w:after="0"/>
                    <w:jc w:val="right"/>
                    <w:rPr>
                      <w:rFonts w:ascii="Arial" w:hAnsi="Arial" w:cs="Arial"/>
                      <w:color w:val="000000"/>
                      <w:sz w:val="13"/>
                      <w:szCs w:val="13"/>
                    </w:rPr>
                  </w:pPr>
                  <w:r>
                    <w:rPr>
                      <w:rFonts w:ascii="Arial" w:hAnsi="Arial" w:cs="Arial"/>
                      <w:color w:val="000000"/>
                      <w:sz w:val="13"/>
                      <w:szCs w:val="13"/>
                    </w:rPr>
                    <w:t>-0.11</w:t>
                  </w:r>
                </w:p>
              </w:tc>
            </w:tr>
            <w:tr w:rsidR="000A4326" w14:paraId="0FDE93A4"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396" w14:textId="77777777" w:rsidR="000A4326" w:rsidRDefault="000A4326" w:rsidP="00902AE8">
                  <w:pPr>
                    <w:spacing w:after="0"/>
                    <w:jc w:val="center"/>
                    <w:rPr>
                      <w:rFonts w:ascii="Arial" w:hAnsi="Arial" w:cs="Arial"/>
                      <w:b/>
                      <w:bCs/>
                      <w:color w:val="000000"/>
                      <w:sz w:val="13"/>
                      <w:szCs w:val="13"/>
                    </w:rPr>
                  </w:pPr>
                  <w:r>
                    <w:rPr>
                      <w:rFonts w:ascii="Arial" w:hAnsi="Arial" w:cs="Arial"/>
                      <w:b/>
                      <w:bCs/>
                      <w:color w:val="000000"/>
                      <w:sz w:val="13"/>
                      <w:szCs w:val="13"/>
                    </w:rPr>
                    <w:t>2015</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7" w14:textId="77777777" w:rsidR="000A4326" w:rsidRDefault="00674259" w:rsidP="00580462">
                  <w:pPr>
                    <w:spacing w:after="0"/>
                    <w:jc w:val="right"/>
                    <w:rPr>
                      <w:rFonts w:ascii="Arial" w:hAnsi="Arial" w:cs="Arial"/>
                      <w:color w:val="000000"/>
                      <w:sz w:val="13"/>
                      <w:szCs w:val="13"/>
                    </w:rPr>
                  </w:pPr>
                  <w:r>
                    <w:rPr>
                      <w:rFonts w:ascii="Arial" w:hAnsi="Arial" w:cs="Arial"/>
                      <w:color w:val="000000"/>
                      <w:sz w:val="13"/>
                      <w:szCs w:val="13"/>
                    </w:rPr>
                    <w:t>3.</w:t>
                  </w:r>
                  <w:r w:rsidR="00580462">
                    <w:rPr>
                      <w:rFonts w:ascii="Arial" w:hAnsi="Arial" w:cs="Arial"/>
                      <w:color w:val="000000"/>
                      <w:sz w:val="13"/>
                      <w:szCs w:val="13"/>
                    </w:rPr>
                    <w:t>34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8" w14:textId="77777777" w:rsidR="000A4326" w:rsidRDefault="00EE1F6E" w:rsidP="00902AE8">
                  <w:pPr>
                    <w:spacing w:after="0"/>
                    <w:jc w:val="right"/>
                    <w:rPr>
                      <w:rFonts w:ascii="Arial" w:hAnsi="Arial" w:cs="Arial"/>
                      <w:color w:val="000000"/>
                      <w:sz w:val="13"/>
                      <w:szCs w:val="13"/>
                    </w:rPr>
                  </w:pPr>
                  <w:r>
                    <w:rPr>
                      <w:rFonts w:ascii="Arial" w:hAnsi="Arial" w:cs="Arial"/>
                      <w:color w:val="000000"/>
                      <w:sz w:val="13"/>
                      <w:szCs w:val="13"/>
                    </w:rPr>
                    <w:t>-0.61</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9" w14:textId="77777777" w:rsidR="000A4326" w:rsidRDefault="008809FF" w:rsidP="00902AE8">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A" w14:textId="77777777" w:rsidR="000A4326" w:rsidRDefault="002C1031" w:rsidP="0047197A">
                  <w:pPr>
                    <w:spacing w:after="0"/>
                    <w:jc w:val="right"/>
                    <w:rPr>
                      <w:rFonts w:ascii="Arial" w:hAnsi="Arial" w:cs="Arial"/>
                      <w:color w:val="000000"/>
                      <w:sz w:val="13"/>
                      <w:szCs w:val="13"/>
                    </w:rPr>
                  </w:pPr>
                  <w:r>
                    <w:rPr>
                      <w:rFonts w:ascii="Arial" w:hAnsi="Arial" w:cs="Arial"/>
                      <w:color w:val="000000"/>
                      <w:sz w:val="13"/>
                      <w:szCs w:val="13"/>
                    </w:rPr>
                    <w:t>-1.</w:t>
                  </w:r>
                  <w:r w:rsidR="0047197A">
                    <w:rPr>
                      <w:rFonts w:ascii="Arial" w:hAnsi="Arial" w:cs="Arial"/>
                      <w:color w:val="000000"/>
                      <w:sz w:val="13"/>
                      <w:szCs w:val="13"/>
                    </w:rPr>
                    <w:t>25</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B" w14:textId="77777777" w:rsidR="000A4326" w:rsidRPr="00C23569" w:rsidRDefault="00897DBC" w:rsidP="00A7286E">
                  <w:pPr>
                    <w:spacing w:after="0"/>
                    <w:jc w:val="right"/>
                    <w:rPr>
                      <w:rFonts w:ascii="Arial" w:hAnsi="Arial" w:cs="Arial"/>
                      <w:color w:val="000000"/>
                      <w:sz w:val="13"/>
                      <w:szCs w:val="13"/>
                    </w:rPr>
                  </w:pPr>
                  <w:r w:rsidRPr="00C23569">
                    <w:rPr>
                      <w:rFonts w:ascii="Arial" w:hAnsi="Arial" w:cs="Arial"/>
                      <w:color w:val="000000"/>
                      <w:sz w:val="13"/>
                      <w:szCs w:val="13"/>
                    </w:rPr>
                    <w:t>0.94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C" w14:textId="77777777" w:rsidR="000A4326" w:rsidRPr="00C23569" w:rsidRDefault="008F61E2" w:rsidP="008F61E2">
                  <w:pPr>
                    <w:spacing w:after="0"/>
                    <w:jc w:val="right"/>
                    <w:rPr>
                      <w:rFonts w:ascii="Arial" w:hAnsi="Arial" w:cs="Arial"/>
                      <w:color w:val="000000"/>
                      <w:sz w:val="13"/>
                      <w:szCs w:val="13"/>
                    </w:rPr>
                  </w:pPr>
                  <w:r w:rsidRPr="00C23569">
                    <w:rPr>
                      <w:rFonts w:ascii="Arial" w:hAnsi="Arial" w:cs="Arial"/>
                      <w:color w:val="000000"/>
                      <w:sz w:val="13"/>
                      <w:szCs w:val="13"/>
                    </w:rPr>
                    <w:t>-0.94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D" w14:textId="77777777" w:rsidR="000A4326" w:rsidRPr="00C23569" w:rsidRDefault="00667749" w:rsidP="00902AE8">
                  <w:pPr>
                    <w:spacing w:after="0"/>
                    <w:jc w:val="right"/>
                    <w:rPr>
                      <w:rFonts w:ascii="Arial" w:hAnsi="Arial" w:cs="Arial"/>
                      <w:color w:val="000000"/>
                      <w:sz w:val="13"/>
                      <w:szCs w:val="13"/>
                    </w:rPr>
                  </w:pPr>
                  <w:r>
                    <w:rPr>
                      <w:rFonts w:ascii="Arial" w:hAnsi="Arial" w:cs="Arial"/>
                      <w:color w:val="000000"/>
                      <w:sz w:val="13"/>
                      <w:szCs w:val="13"/>
                    </w:rPr>
                    <w:t>0.28</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E" w14:textId="77777777" w:rsidR="000A4326" w:rsidRPr="00667749" w:rsidRDefault="001F7BE8" w:rsidP="00902AE8">
                  <w:pPr>
                    <w:spacing w:after="0"/>
                    <w:jc w:val="right"/>
                    <w:rPr>
                      <w:rFonts w:ascii="Arial" w:hAnsi="Arial" w:cs="Arial"/>
                      <w:color w:val="000000"/>
                      <w:sz w:val="13"/>
                      <w:szCs w:val="13"/>
                    </w:rPr>
                  </w:pPr>
                  <w:r>
                    <w:rPr>
                      <w:rFonts w:ascii="Arial" w:hAnsi="Arial" w:cs="Arial"/>
                      <w:color w:val="000000"/>
                      <w:sz w:val="13"/>
                      <w:szCs w:val="13"/>
                    </w:rPr>
                    <w:t>-0.84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F" w14:textId="77777777" w:rsidR="000A4326" w:rsidRPr="00667749" w:rsidRDefault="00841024" w:rsidP="00902AE8">
                  <w:pPr>
                    <w:spacing w:after="0"/>
                    <w:jc w:val="right"/>
                    <w:rPr>
                      <w:rFonts w:ascii="Arial" w:hAnsi="Arial" w:cs="Arial"/>
                      <w:color w:val="000000"/>
                      <w:sz w:val="13"/>
                      <w:szCs w:val="13"/>
                    </w:rPr>
                  </w:pPr>
                  <w:r>
                    <w:rPr>
                      <w:rFonts w:ascii="Arial" w:hAnsi="Arial" w:cs="Arial"/>
                      <w:color w:val="000000"/>
                      <w:sz w:val="13"/>
                      <w:szCs w:val="13"/>
                    </w:rPr>
                    <w:t>-0.67</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A0" w14:textId="77777777" w:rsidR="000A4326" w:rsidRDefault="0043685C" w:rsidP="00902AE8">
                  <w:pPr>
                    <w:spacing w:after="0"/>
                    <w:jc w:val="right"/>
                    <w:rPr>
                      <w:rFonts w:ascii="Arial" w:hAnsi="Arial" w:cs="Arial"/>
                      <w:color w:val="000000"/>
                      <w:sz w:val="13"/>
                      <w:szCs w:val="13"/>
                    </w:rPr>
                  </w:pPr>
                  <w:r>
                    <w:rPr>
                      <w:rFonts w:ascii="Arial" w:hAnsi="Arial" w:cs="Arial"/>
                      <w:color w:val="000000"/>
                      <w:sz w:val="13"/>
                      <w:szCs w:val="13"/>
                    </w:rPr>
                    <w:t>-0.60</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A1" w14:textId="06DA8F2B" w:rsidR="000A4326" w:rsidRPr="000410E6" w:rsidRDefault="0043685C" w:rsidP="000410E6">
                  <w:pPr>
                    <w:spacing w:after="0"/>
                    <w:jc w:val="right"/>
                    <w:rPr>
                      <w:rFonts w:ascii="Arial" w:hAnsi="Arial" w:cs="Arial"/>
                      <w:color w:val="000000"/>
                      <w:sz w:val="13"/>
                      <w:szCs w:val="13"/>
                    </w:rPr>
                  </w:pPr>
                  <w:r w:rsidRPr="000410E6">
                    <w:rPr>
                      <w:rFonts w:ascii="Arial" w:hAnsi="Arial" w:cs="Arial"/>
                      <w:color w:val="000000"/>
                      <w:sz w:val="13"/>
                      <w:szCs w:val="13"/>
                    </w:rPr>
                    <w:t>2.5</w:t>
                  </w:r>
                  <w:r w:rsidR="000410E6" w:rsidRPr="000410E6">
                    <w:rPr>
                      <w:rFonts w:ascii="Arial" w:hAnsi="Arial" w:cs="Arial"/>
                      <w:color w:val="000000"/>
                      <w:sz w:val="13"/>
                      <w:szCs w:val="13"/>
                    </w:rPr>
                    <w:t>6</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A2" w14:textId="02FE9ADD" w:rsidR="000A4326" w:rsidRPr="000410E6" w:rsidRDefault="00E14EB9" w:rsidP="000B70EF">
                  <w:pPr>
                    <w:spacing w:after="0"/>
                    <w:jc w:val="right"/>
                    <w:rPr>
                      <w:rFonts w:ascii="Arial" w:hAnsi="Arial" w:cs="Arial"/>
                      <w:color w:val="000000"/>
                      <w:sz w:val="13"/>
                      <w:szCs w:val="13"/>
                    </w:rPr>
                  </w:pPr>
                  <w:r>
                    <w:rPr>
                      <w:rFonts w:ascii="Arial" w:hAnsi="Arial" w:cs="Arial"/>
                      <w:color w:val="000000"/>
                      <w:sz w:val="13"/>
                      <w:szCs w:val="13"/>
                    </w:rPr>
                    <w:t>-3.2</w:t>
                  </w:r>
                  <w:r w:rsidR="000B70EF">
                    <w:rPr>
                      <w:rFonts w:ascii="Arial" w:hAnsi="Arial" w:cs="Arial"/>
                      <w:color w:val="000000"/>
                      <w:sz w:val="13"/>
                      <w:szCs w:val="13"/>
                    </w:rPr>
                    <w:t>2</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A3" w14:textId="18B80A3B" w:rsidR="000A4326" w:rsidRDefault="00E14EB9" w:rsidP="000B70EF">
                  <w:pPr>
                    <w:spacing w:after="0"/>
                    <w:jc w:val="center"/>
                    <w:rPr>
                      <w:rFonts w:ascii="Arial" w:hAnsi="Arial" w:cs="Arial"/>
                      <w:color w:val="000000"/>
                      <w:sz w:val="13"/>
                      <w:szCs w:val="13"/>
                    </w:rPr>
                  </w:pPr>
                  <w:r>
                    <w:rPr>
                      <w:rFonts w:ascii="Arial" w:hAnsi="Arial" w:cs="Arial"/>
                      <w:color w:val="000000"/>
                      <w:sz w:val="13"/>
                      <w:szCs w:val="13"/>
                    </w:rPr>
                    <w:t>-0.</w:t>
                  </w:r>
                  <w:r w:rsidR="000B70EF">
                    <w:rPr>
                      <w:rFonts w:ascii="Arial" w:hAnsi="Arial" w:cs="Arial"/>
                      <w:color w:val="000000"/>
                      <w:sz w:val="13"/>
                      <w:szCs w:val="13"/>
                    </w:rPr>
                    <w:t>77</w:t>
                  </w:r>
                </w:p>
              </w:tc>
            </w:tr>
            <w:tr w:rsidR="003A62D6" w14:paraId="0CA80302"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397BDAD6" w14:textId="5BF61FBF" w:rsidR="003A62D6" w:rsidRDefault="003A62D6" w:rsidP="003A62D6">
                  <w:pPr>
                    <w:spacing w:after="0"/>
                    <w:jc w:val="center"/>
                    <w:rPr>
                      <w:rFonts w:ascii="Arial" w:hAnsi="Arial" w:cs="Arial"/>
                      <w:b/>
                      <w:bCs/>
                      <w:color w:val="000000"/>
                      <w:sz w:val="13"/>
                      <w:szCs w:val="13"/>
                    </w:rPr>
                  </w:pPr>
                  <w:r>
                    <w:rPr>
                      <w:rFonts w:ascii="Arial" w:hAnsi="Arial" w:cs="Arial"/>
                      <w:b/>
                      <w:bCs/>
                      <w:color w:val="000000"/>
                      <w:sz w:val="13"/>
                      <w:szCs w:val="13"/>
                    </w:rPr>
                    <w:t>2016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F8713D7" w14:textId="01BCB4C2" w:rsidR="003A62D6" w:rsidRDefault="003A62D6" w:rsidP="00B4506C">
                  <w:pPr>
                    <w:spacing w:after="0"/>
                    <w:jc w:val="right"/>
                    <w:rPr>
                      <w:rFonts w:ascii="Arial" w:hAnsi="Arial" w:cs="Arial"/>
                      <w:color w:val="000000"/>
                      <w:sz w:val="13"/>
                      <w:szCs w:val="13"/>
                    </w:rPr>
                  </w:pPr>
                  <w:r>
                    <w:rPr>
                      <w:rFonts w:ascii="Arial" w:hAnsi="Arial" w:cs="Arial"/>
                      <w:color w:val="000000"/>
                      <w:sz w:val="13"/>
                      <w:szCs w:val="13"/>
                    </w:rPr>
                    <w:t>0.</w:t>
                  </w:r>
                  <w:r w:rsidR="00B4506C">
                    <w:rPr>
                      <w:rFonts w:ascii="Arial" w:hAnsi="Arial" w:cs="Arial"/>
                      <w:color w:val="000000"/>
                      <w:sz w:val="13"/>
                      <w:szCs w:val="13"/>
                    </w:rPr>
                    <w:t>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C10FF9D" w14:textId="1C6A4684" w:rsidR="003A62D6" w:rsidRDefault="008B18B3" w:rsidP="00CF0C2B">
                  <w:pPr>
                    <w:spacing w:after="0"/>
                    <w:jc w:val="right"/>
                    <w:rPr>
                      <w:rFonts w:ascii="Arial" w:hAnsi="Arial" w:cs="Arial"/>
                      <w:color w:val="000000"/>
                      <w:sz w:val="13"/>
                      <w:szCs w:val="13"/>
                    </w:rPr>
                  </w:pPr>
                  <w:r>
                    <w:rPr>
                      <w:rFonts w:ascii="Arial" w:hAnsi="Arial" w:cs="Arial"/>
                      <w:color w:val="000000"/>
                      <w:sz w:val="13"/>
                      <w:szCs w:val="13"/>
                    </w:rPr>
                    <w:t>0.7</w:t>
                  </w:r>
                  <w:r w:rsidR="00CF0C2B">
                    <w:rPr>
                      <w:rFonts w:ascii="Arial" w:hAnsi="Arial" w:cs="Arial"/>
                      <w:color w:val="000000"/>
                      <w:sz w:val="13"/>
                      <w:szCs w:val="13"/>
                    </w:rPr>
                    <w:t>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132B0214" w14:textId="58B8809B" w:rsidR="003A62D6" w:rsidRDefault="002E377D" w:rsidP="002E377D">
                  <w:pPr>
                    <w:spacing w:after="0"/>
                    <w:jc w:val="right"/>
                    <w:rPr>
                      <w:rFonts w:ascii="Arial" w:hAnsi="Arial" w:cs="Arial"/>
                      <w:color w:val="000000"/>
                      <w:sz w:val="13"/>
                      <w:szCs w:val="13"/>
                    </w:rPr>
                  </w:pPr>
                  <w:r>
                    <w:rPr>
                      <w:rFonts w:ascii="Arial" w:hAnsi="Arial" w:cs="Arial"/>
                      <w:color w:val="000000"/>
                      <w:sz w:val="13"/>
                      <w:szCs w:val="13"/>
                    </w:rPr>
                    <w:t>-1.56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3FB7D26" w14:textId="34544DF2" w:rsidR="003A62D6" w:rsidRDefault="00EC76E5" w:rsidP="00AE4FE8">
                  <w:pPr>
                    <w:spacing w:after="0"/>
                    <w:jc w:val="right"/>
                    <w:rPr>
                      <w:rFonts w:ascii="Arial" w:hAnsi="Arial" w:cs="Arial"/>
                      <w:color w:val="000000"/>
                      <w:sz w:val="13"/>
                      <w:szCs w:val="13"/>
                    </w:rPr>
                  </w:pPr>
                  <w:r>
                    <w:rPr>
                      <w:rFonts w:ascii="Arial" w:hAnsi="Arial" w:cs="Arial"/>
                      <w:color w:val="000000"/>
                      <w:sz w:val="13"/>
                      <w:szCs w:val="13"/>
                    </w:rPr>
                    <w:t>-0.</w:t>
                  </w:r>
                  <w:r w:rsidR="00AE4FE8">
                    <w:rPr>
                      <w:rFonts w:ascii="Arial" w:hAnsi="Arial" w:cs="Arial"/>
                      <w:color w:val="000000"/>
                      <w:sz w:val="13"/>
                      <w:szCs w:val="13"/>
                    </w:rPr>
                    <w:t>88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11FD0A60" w14:textId="0FD4EF07" w:rsidR="003A62D6" w:rsidRDefault="003868E7" w:rsidP="00C67685">
                  <w:pPr>
                    <w:spacing w:after="0"/>
                    <w:jc w:val="right"/>
                    <w:rPr>
                      <w:rFonts w:ascii="Arial" w:hAnsi="Arial" w:cs="Arial"/>
                      <w:color w:val="000000"/>
                      <w:sz w:val="13"/>
                      <w:szCs w:val="13"/>
                    </w:rPr>
                  </w:pPr>
                  <w:r>
                    <w:rPr>
                      <w:rFonts w:ascii="Arial" w:hAnsi="Arial" w:cs="Arial"/>
                      <w:color w:val="000000"/>
                      <w:sz w:val="13"/>
                      <w:szCs w:val="13"/>
                    </w:rPr>
                    <w:t>-0.</w:t>
                  </w:r>
                  <w:r w:rsidR="00C67685">
                    <w:rPr>
                      <w:rFonts w:ascii="Arial" w:hAnsi="Arial" w:cs="Arial"/>
                      <w:color w:val="000000"/>
                      <w:sz w:val="13"/>
                      <w:szCs w:val="13"/>
                    </w:rPr>
                    <w:t>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383CA2F" w14:textId="6EDFE8DB" w:rsidR="003A62D6" w:rsidRDefault="00C67685" w:rsidP="006643C5">
                  <w:pPr>
                    <w:spacing w:after="0"/>
                    <w:jc w:val="right"/>
                    <w:rPr>
                      <w:rFonts w:ascii="Arial" w:hAnsi="Arial" w:cs="Arial"/>
                      <w:color w:val="000000"/>
                      <w:sz w:val="13"/>
                      <w:szCs w:val="13"/>
                    </w:rPr>
                  </w:pPr>
                  <w:r>
                    <w:rPr>
                      <w:rFonts w:ascii="Arial" w:hAnsi="Arial" w:cs="Arial"/>
                      <w:color w:val="000000"/>
                      <w:sz w:val="13"/>
                      <w:szCs w:val="13"/>
                    </w:rPr>
                    <w:t>3.</w:t>
                  </w:r>
                  <w:r w:rsidR="00BB3FCB">
                    <w:rPr>
                      <w:rFonts w:ascii="Arial" w:hAnsi="Arial" w:cs="Arial"/>
                      <w:color w:val="000000"/>
                      <w:sz w:val="13"/>
                      <w:szCs w:val="13"/>
                    </w:rPr>
                    <w:t>25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1F04796" w14:textId="3D217F01" w:rsidR="003A62D6" w:rsidRDefault="00062454" w:rsidP="003A62D6">
                  <w:pPr>
                    <w:spacing w:after="0"/>
                    <w:jc w:val="right"/>
                    <w:rPr>
                      <w:rFonts w:ascii="Arial" w:hAnsi="Arial" w:cs="Arial"/>
                      <w:color w:val="000000"/>
                      <w:sz w:val="13"/>
                      <w:szCs w:val="13"/>
                    </w:rPr>
                  </w:pPr>
                  <w:r>
                    <w:rPr>
                      <w:rFonts w:ascii="Arial" w:hAnsi="Arial" w:cs="Arial"/>
                      <w:color w:val="000000"/>
                      <w:sz w:val="13"/>
                      <w:szCs w:val="13"/>
                    </w:rPr>
                    <w:t>-0.77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9F72F84" w14:textId="6E7241F0" w:rsidR="003A62D6" w:rsidRDefault="00987BE3" w:rsidP="003A62D6">
                  <w:pPr>
                    <w:spacing w:after="0"/>
                    <w:jc w:val="right"/>
                    <w:rPr>
                      <w:rFonts w:ascii="Arial" w:hAnsi="Arial" w:cs="Arial"/>
                      <w:color w:val="000000"/>
                      <w:sz w:val="13"/>
                      <w:szCs w:val="13"/>
                    </w:rPr>
                  </w:pPr>
                  <w:r>
                    <w:rPr>
                      <w:rFonts w:ascii="Arial" w:hAnsi="Arial" w:cs="Arial"/>
                      <w:color w:val="000000"/>
                      <w:sz w:val="13"/>
                      <w:szCs w:val="13"/>
                    </w:rPr>
                    <w:t>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AE6B59D" w14:textId="224A52F9" w:rsidR="003A62D6" w:rsidRDefault="00727C4F" w:rsidP="003A62D6">
                  <w:pPr>
                    <w:spacing w:after="0"/>
                    <w:jc w:val="right"/>
                    <w:rPr>
                      <w:rFonts w:ascii="Arial" w:hAnsi="Arial" w:cs="Arial"/>
                      <w:color w:val="000000"/>
                      <w:sz w:val="13"/>
                      <w:szCs w:val="13"/>
                    </w:rPr>
                  </w:pPr>
                  <w:r>
                    <w:rPr>
                      <w:rFonts w:ascii="Arial" w:hAnsi="Arial" w:cs="Arial"/>
                      <w:color w:val="000000"/>
                      <w:sz w:val="13"/>
                      <w:szCs w:val="13"/>
                    </w:rPr>
                    <w:t>-0.56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FD23FFE" w14:textId="19CFCD7B" w:rsidR="003A62D6" w:rsidRDefault="000C27FC" w:rsidP="003A62D6">
                  <w:pPr>
                    <w:spacing w:after="0"/>
                    <w:jc w:val="right"/>
                    <w:rPr>
                      <w:rFonts w:ascii="Arial" w:hAnsi="Arial" w:cs="Arial"/>
                      <w:color w:val="000000"/>
                      <w:sz w:val="13"/>
                      <w:szCs w:val="13"/>
                    </w:rPr>
                  </w:pPr>
                  <w:r>
                    <w:rPr>
                      <w:rFonts w:ascii="Arial" w:hAnsi="Arial" w:cs="Arial"/>
                      <w:color w:val="000000"/>
                      <w:sz w:val="13"/>
                      <w:szCs w:val="13"/>
                    </w:rPr>
                    <w:t>0.59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FEDEC22" w14:textId="4623FF74" w:rsidR="003A62D6" w:rsidRDefault="00F93D7A" w:rsidP="003A62D6">
                  <w:pPr>
                    <w:spacing w:after="0"/>
                    <w:jc w:val="right"/>
                    <w:rPr>
                      <w:rFonts w:ascii="Arial" w:hAnsi="Arial" w:cs="Arial"/>
                      <w:color w:val="000000"/>
                      <w:sz w:val="13"/>
                      <w:szCs w:val="13"/>
                    </w:rPr>
                  </w:pPr>
                  <w:r>
                    <w:rPr>
                      <w:rFonts w:ascii="Arial" w:hAnsi="Arial" w:cs="Arial"/>
                      <w:color w:val="000000"/>
                      <w:sz w:val="13"/>
                      <w:szCs w:val="13"/>
                    </w:rPr>
                    <w:t>5.37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588ADBE" w14:textId="0CFA2EF3" w:rsidR="003A62D6" w:rsidRDefault="002C35BE" w:rsidP="003A62D6">
                  <w:pPr>
                    <w:spacing w:after="0"/>
                    <w:jc w:val="right"/>
                    <w:rPr>
                      <w:rFonts w:ascii="Arial" w:hAnsi="Arial" w:cs="Arial"/>
                      <w:color w:val="000000"/>
                      <w:sz w:val="13"/>
                      <w:szCs w:val="13"/>
                    </w:rPr>
                  </w:pPr>
                  <w:r>
                    <w:rPr>
                      <w:rFonts w:ascii="Arial" w:hAnsi="Arial" w:cs="Arial"/>
                      <w:color w:val="000000"/>
                      <w:sz w:val="13"/>
                      <w:szCs w:val="13"/>
                    </w:rPr>
                    <w:t>0.03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77E2041" w14:textId="42A54B5E" w:rsidR="003A62D6" w:rsidRDefault="002C35BE" w:rsidP="000C27FC">
                  <w:pPr>
                    <w:spacing w:after="0"/>
                    <w:jc w:val="right"/>
                    <w:rPr>
                      <w:rFonts w:ascii="Arial" w:hAnsi="Arial" w:cs="Arial"/>
                      <w:color w:val="000000"/>
                      <w:sz w:val="13"/>
                      <w:szCs w:val="13"/>
                    </w:rPr>
                  </w:pPr>
                  <w:r>
                    <w:rPr>
                      <w:rFonts w:ascii="Arial" w:hAnsi="Arial" w:cs="Arial"/>
                      <w:color w:val="000000"/>
                      <w:sz w:val="13"/>
                      <w:szCs w:val="13"/>
                    </w:rPr>
                    <w:t>6.37</w:t>
                  </w:r>
                </w:p>
              </w:tc>
            </w:tr>
            <w:tr w:rsidR="00150045" w14:paraId="533FDE45"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73B3374" w14:textId="543EEE5B" w:rsidR="00150045" w:rsidRDefault="00150045" w:rsidP="003A62D6">
                  <w:pPr>
                    <w:spacing w:after="0"/>
                    <w:jc w:val="center"/>
                    <w:rPr>
                      <w:rFonts w:ascii="Arial" w:hAnsi="Arial" w:cs="Arial"/>
                      <w:b/>
                      <w:bCs/>
                      <w:color w:val="000000"/>
                      <w:sz w:val="13"/>
                      <w:szCs w:val="13"/>
                    </w:rPr>
                  </w:pPr>
                  <w:r>
                    <w:rPr>
                      <w:rFonts w:ascii="Arial" w:hAnsi="Arial" w:cs="Arial"/>
                      <w:b/>
                      <w:bCs/>
                      <w:color w:val="000000"/>
                      <w:sz w:val="13"/>
                      <w:szCs w:val="13"/>
                    </w:rPr>
                    <w:t>2017</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531BB09" w14:textId="0711540C" w:rsidR="00150045" w:rsidRDefault="00F82F05" w:rsidP="00F82F05">
                  <w:pPr>
                    <w:spacing w:after="0"/>
                    <w:jc w:val="right"/>
                    <w:rPr>
                      <w:rFonts w:ascii="Arial" w:hAnsi="Arial" w:cs="Arial"/>
                      <w:color w:val="000000"/>
                      <w:sz w:val="13"/>
                      <w:szCs w:val="13"/>
                    </w:rPr>
                  </w:pPr>
                  <w:r>
                    <w:rPr>
                      <w:rFonts w:ascii="Arial" w:hAnsi="Arial" w:cs="Arial"/>
                      <w:color w:val="000000"/>
                      <w:sz w:val="13"/>
                      <w:szCs w:val="13"/>
                    </w:rPr>
                    <w:t>-1.62</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0FE13691" w14:textId="6138FB3B" w:rsidR="00150045" w:rsidRDefault="004825EB" w:rsidP="00CF0C2B">
                  <w:pPr>
                    <w:spacing w:after="0"/>
                    <w:jc w:val="right"/>
                    <w:rPr>
                      <w:rFonts w:ascii="Arial" w:hAnsi="Arial" w:cs="Arial"/>
                      <w:color w:val="000000"/>
                      <w:sz w:val="13"/>
                      <w:szCs w:val="13"/>
                    </w:rPr>
                  </w:pPr>
                  <w:r>
                    <w:rPr>
                      <w:rFonts w:ascii="Arial" w:hAnsi="Arial" w:cs="Arial"/>
                      <w:color w:val="000000"/>
                      <w:sz w:val="13"/>
                      <w:szCs w:val="13"/>
                    </w:rPr>
                    <w:t>1.85</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4DF71A8A" w14:textId="68386CA7" w:rsidR="00150045" w:rsidRDefault="00CA2956" w:rsidP="002E377D">
                  <w:pPr>
                    <w:spacing w:after="0"/>
                    <w:jc w:val="right"/>
                    <w:rPr>
                      <w:rFonts w:ascii="Arial" w:hAnsi="Arial" w:cs="Arial"/>
                      <w:color w:val="000000"/>
                      <w:sz w:val="13"/>
                      <w:szCs w:val="13"/>
                    </w:rPr>
                  </w:pPr>
                  <w:r>
                    <w:rPr>
                      <w:rFonts w:ascii="Arial" w:hAnsi="Arial" w:cs="Arial"/>
                      <w:color w:val="000000"/>
                      <w:sz w:val="13"/>
                      <w:szCs w:val="13"/>
                    </w:rPr>
                    <w:t>-3.04</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BC1ED03" w14:textId="77777777" w:rsidR="00150045" w:rsidRDefault="00150045" w:rsidP="00AE4FE8">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9AE4D80" w14:textId="77777777" w:rsidR="00150045" w:rsidRDefault="00150045" w:rsidP="00C6768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EE0174B" w14:textId="77777777" w:rsidR="00150045" w:rsidRDefault="00150045" w:rsidP="006643C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5EA7262"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E330725"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6A605B6"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A35E6EB"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0E88A02"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40330E4"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9775D37" w14:textId="23C56589" w:rsidR="00150045" w:rsidRDefault="00CA2956" w:rsidP="00CA2956">
                  <w:pPr>
                    <w:spacing w:after="0"/>
                    <w:jc w:val="right"/>
                    <w:rPr>
                      <w:rFonts w:ascii="Arial" w:hAnsi="Arial" w:cs="Arial"/>
                      <w:color w:val="000000"/>
                      <w:sz w:val="13"/>
                      <w:szCs w:val="13"/>
                    </w:rPr>
                  </w:pPr>
                  <w:r>
                    <w:rPr>
                      <w:rFonts w:ascii="Arial" w:hAnsi="Arial" w:cs="Arial"/>
                      <w:color w:val="000000"/>
                      <w:sz w:val="13"/>
                      <w:szCs w:val="13"/>
                    </w:rPr>
                    <w:t>-2.85</w:t>
                  </w:r>
                </w:p>
              </w:tc>
            </w:tr>
          </w:tbl>
          <w:p w14:paraId="0FDE93A5" w14:textId="77777777" w:rsidR="0045147E" w:rsidRDefault="0045147E" w:rsidP="007A4D7C">
            <w:pPr>
              <w:spacing w:after="120" w:line="288" w:lineRule="auto"/>
              <w:jc w:val="both"/>
              <w:rPr>
                <w:rFonts w:ascii="Arial" w:hAnsi="Arial" w:cs="Arial"/>
                <w:sz w:val="20"/>
                <w:szCs w:val="20"/>
              </w:rPr>
            </w:pPr>
          </w:p>
        </w:tc>
      </w:tr>
      <w:tr w:rsidR="007A4D7C" w14:paraId="0FDE943F" w14:textId="77777777" w:rsidTr="00150045">
        <w:trPr>
          <w:trHeight w:val="3585"/>
        </w:trPr>
        <w:tc>
          <w:tcPr>
            <w:tcW w:w="1809" w:type="dxa"/>
            <w:vMerge/>
          </w:tcPr>
          <w:p w14:paraId="0FDE93A7"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tbl>
            <w:tblPr>
              <w:tblW w:w="7100" w:type="dxa"/>
              <w:tblLayout w:type="fixed"/>
              <w:tblCellMar>
                <w:top w:w="57" w:type="dxa"/>
                <w:left w:w="28" w:type="dxa"/>
                <w:right w:w="85" w:type="dxa"/>
              </w:tblCellMar>
              <w:tblLook w:val="04A0" w:firstRow="1" w:lastRow="0" w:firstColumn="1" w:lastColumn="0" w:noHBand="0" w:noVBand="1"/>
            </w:tblPr>
            <w:tblGrid>
              <w:gridCol w:w="600"/>
              <w:gridCol w:w="500"/>
              <w:gridCol w:w="500"/>
              <w:gridCol w:w="500"/>
              <w:gridCol w:w="500"/>
              <w:gridCol w:w="500"/>
              <w:gridCol w:w="500"/>
              <w:gridCol w:w="500"/>
              <w:gridCol w:w="500"/>
              <w:gridCol w:w="500"/>
              <w:gridCol w:w="500"/>
              <w:gridCol w:w="500"/>
              <w:gridCol w:w="500"/>
              <w:gridCol w:w="500"/>
            </w:tblGrid>
            <w:tr w:rsidR="007A4D7C" w14:paraId="0FDE93B6" w14:textId="77777777" w:rsidTr="007A4D7C">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A8"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GBP</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9"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Jan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A"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Feb</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B"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Mar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C"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Apr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D"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May</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E"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Jun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F"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Jul</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Aug</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Sep</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2"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Oct</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3"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Nov</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4"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Dec</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5"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YTD</w:t>
                  </w:r>
                </w:p>
              </w:tc>
            </w:tr>
            <w:tr w:rsidR="007A4D7C" w14:paraId="0FDE93C5"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B7"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2007</w:t>
                  </w:r>
                </w:p>
              </w:tc>
              <w:tc>
                <w:tcPr>
                  <w:tcW w:w="500" w:type="dxa"/>
                  <w:tcBorders>
                    <w:top w:val="nil"/>
                    <w:left w:val="nil"/>
                    <w:bottom w:val="single" w:sz="4" w:space="0" w:color="auto"/>
                    <w:right w:val="single" w:sz="4" w:space="0" w:color="auto"/>
                  </w:tcBorders>
                  <w:shd w:val="clear" w:color="auto" w:fill="auto"/>
                  <w:noWrap/>
                  <w:vAlign w:val="center"/>
                  <w:hideMark/>
                </w:tcPr>
                <w:p w14:paraId="0FDE93B8" w14:textId="77777777" w:rsidR="007A4D7C" w:rsidRDefault="007A4D7C" w:rsidP="007A4D7C">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3B9" w14:textId="77777777" w:rsidR="007A4D7C" w:rsidRDefault="007A4D7C" w:rsidP="007A4D7C">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3B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0.11</w:t>
                  </w:r>
                </w:p>
              </w:tc>
              <w:tc>
                <w:tcPr>
                  <w:tcW w:w="500" w:type="dxa"/>
                  <w:tcBorders>
                    <w:top w:val="nil"/>
                    <w:left w:val="nil"/>
                    <w:bottom w:val="single" w:sz="4" w:space="0" w:color="auto"/>
                    <w:right w:val="single" w:sz="4" w:space="0" w:color="auto"/>
                  </w:tcBorders>
                  <w:shd w:val="clear" w:color="auto" w:fill="auto"/>
                  <w:noWrap/>
                  <w:vAlign w:val="center"/>
                  <w:hideMark/>
                </w:tcPr>
                <w:p w14:paraId="0FDE93B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0.83</w:t>
                  </w:r>
                </w:p>
              </w:tc>
              <w:tc>
                <w:tcPr>
                  <w:tcW w:w="500" w:type="dxa"/>
                  <w:tcBorders>
                    <w:top w:val="nil"/>
                    <w:left w:val="nil"/>
                    <w:bottom w:val="single" w:sz="4" w:space="0" w:color="auto"/>
                    <w:right w:val="single" w:sz="4" w:space="0" w:color="auto"/>
                  </w:tcBorders>
                  <w:shd w:val="clear" w:color="auto" w:fill="auto"/>
                  <w:noWrap/>
                  <w:vAlign w:val="center"/>
                  <w:hideMark/>
                </w:tcPr>
                <w:p w14:paraId="0FDE93B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0.17</w:t>
                  </w:r>
                </w:p>
              </w:tc>
              <w:tc>
                <w:tcPr>
                  <w:tcW w:w="500" w:type="dxa"/>
                  <w:tcBorders>
                    <w:top w:val="nil"/>
                    <w:left w:val="nil"/>
                    <w:bottom w:val="single" w:sz="4" w:space="0" w:color="auto"/>
                    <w:right w:val="single" w:sz="4" w:space="0" w:color="auto"/>
                  </w:tcBorders>
                  <w:shd w:val="clear" w:color="auto" w:fill="auto"/>
                  <w:noWrap/>
                  <w:vAlign w:val="center"/>
                  <w:hideMark/>
                </w:tcPr>
                <w:p w14:paraId="0FDE93B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2.28</w:t>
                  </w:r>
                </w:p>
              </w:tc>
              <w:tc>
                <w:tcPr>
                  <w:tcW w:w="500" w:type="dxa"/>
                  <w:tcBorders>
                    <w:top w:val="nil"/>
                    <w:left w:val="nil"/>
                    <w:bottom w:val="single" w:sz="4" w:space="0" w:color="auto"/>
                    <w:right w:val="single" w:sz="4" w:space="0" w:color="auto"/>
                  </w:tcBorders>
                  <w:shd w:val="clear" w:color="auto" w:fill="auto"/>
                  <w:noWrap/>
                  <w:vAlign w:val="center"/>
                  <w:hideMark/>
                </w:tcPr>
                <w:p w14:paraId="0FDE93B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2.55</w:t>
                  </w:r>
                </w:p>
              </w:tc>
              <w:tc>
                <w:tcPr>
                  <w:tcW w:w="500" w:type="dxa"/>
                  <w:tcBorders>
                    <w:top w:val="nil"/>
                    <w:left w:val="nil"/>
                    <w:bottom w:val="single" w:sz="4" w:space="0" w:color="auto"/>
                    <w:right w:val="single" w:sz="4" w:space="0" w:color="auto"/>
                  </w:tcBorders>
                  <w:shd w:val="clear" w:color="auto" w:fill="auto"/>
                  <w:noWrap/>
                  <w:vAlign w:val="center"/>
                  <w:hideMark/>
                </w:tcPr>
                <w:p w14:paraId="0FDE93B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3.26</w:t>
                  </w:r>
                </w:p>
              </w:tc>
              <w:tc>
                <w:tcPr>
                  <w:tcW w:w="500" w:type="dxa"/>
                  <w:tcBorders>
                    <w:top w:val="nil"/>
                    <w:left w:val="nil"/>
                    <w:bottom w:val="single" w:sz="4" w:space="0" w:color="auto"/>
                    <w:right w:val="single" w:sz="4" w:space="0" w:color="auto"/>
                  </w:tcBorders>
                  <w:shd w:val="clear" w:color="auto" w:fill="auto"/>
                  <w:noWrap/>
                  <w:vAlign w:val="center"/>
                  <w:hideMark/>
                </w:tcPr>
                <w:p w14:paraId="0FDE93C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5.92</w:t>
                  </w:r>
                </w:p>
              </w:tc>
              <w:tc>
                <w:tcPr>
                  <w:tcW w:w="500" w:type="dxa"/>
                  <w:tcBorders>
                    <w:top w:val="nil"/>
                    <w:left w:val="nil"/>
                    <w:bottom w:val="single" w:sz="4" w:space="0" w:color="auto"/>
                    <w:right w:val="single" w:sz="4" w:space="0" w:color="auto"/>
                  </w:tcBorders>
                  <w:shd w:val="clear" w:color="auto" w:fill="auto"/>
                  <w:noWrap/>
                  <w:vAlign w:val="center"/>
                  <w:hideMark/>
                </w:tcPr>
                <w:p w14:paraId="0FDE93C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nil"/>
                    <w:left w:val="nil"/>
                    <w:bottom w:val="single" w:sz="4" w:space="0" w:color="auto"/>
                    <w:right w:val="single" w:sz="4" w:space="0" w:color="auto"/>
                  </w:tcBorders>
                  <w:shd w:val="clear" w:color="auto" w:fill="auto"/>
                  <w:noWrap/>
                  <w:vAlign w:val="center"/>
                  <w:hideMark/>
                </w:tcPr>
                <w:p w14:paraId="0FDE93C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3.08</w:t>
                  </w:r>
                </w:p>
              </w:tc>
              <w:tc>
                <w:tcPr>
                  <w:tcW w:w="500" w:type="dxa"/>
                  <w:tcBorders>
                    <w:top w:val="nil"/>
                    <w:left w:val="nil"/>
                    <w:bottom w:val="single" w:sz="4" w:space="0" w:color="auto"/>
                    <w:right w:val="single" w:sz="4" w:space="0" w:color="auto"/>
                  </w:tcBorders>
                  <w:shd w:val="clear" w:color="auto" w:fill="auto"/>
                  <w:noWrap/>
                  <w:vAlign w:val="center"/>
                  <w:hideMark/>
                </w:tcPr>
                <w:p w14:paraId="0FDE93C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0.89</w:t>
                  </w:r>
                </w:p>
              </w:tc>
              <w:tc>
                <w:tcPr>
                  <w:tcW w:w="500" w:type="dxa"/>
                  <w:tcBorders>
                    <w:top w:val="nil"/>
                    <w:left w:val="nil"/>
                    <w:bottom w:val="single" w:sz="4" w:space="0" w:color="auto"/>
                    <w:right w:val="single" w:sz="4" w:space="0" w:color="auto"/>
                  </w:tcBorders>
                  <w:shd w:val="clear" w:color="auto" w:fill="auto"/>
                  <w:noWrap/>
                  <w:vAlign w:val="center"/>
                  <w:hideMark/>
                </w:tcPr>
                <w:p w14:paraId="0FDE93C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20.67</w:t>
                  </w:r>
                </w:p>
              </w:tc>
            </w:tr>
            <w:tr w:rsidR="007A4D7C" w14:paraId="0FDE93D4"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C6"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10.18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6.86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-2.61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2.91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-2.99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D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2.84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D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4.23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D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D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23.25</w:t>
                  </w:r>
                </w:p>
              </w:tc>
            </w:tr>
            <w:tr w:rsidR="007A4D7C" w14:paraId="0FDE93E3"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D5"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2009</w:t>
                  </w:r>
                </w:p>
              </w:tc>
              <w:tc>
                <w:tcPr>
                  <w:tcW w:w="500" w:type="dxa"/>
                  <w:tcBorders>
                    <w:top w:val="nil"/>
                    <w:left w:val="nil"/>
                    <w:bottom w:val="single" w:sz="4" w:space="0" w:color="auto"/>
                    <w:right w:val="single" w:sz="4" w:space="0" w:color="auto"/>
                  </w:tcBorders>
                  <w:shd w:val="clear" w:color="auto" w:fill="auto"/>
                  <w:noWrap/>
                  <w:vAlign w:val="center"/>
                  <w:hideMark/>
                </w:tcPr>
                <w:p w14:paraId="0FDE93D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5.19</w:t>
                  </w:r>
                </w:p>
              </w:tc>
              <w:tc>
                <w:tcPr>
                  <w:tcW w:w="500" w:type="dxa"/>
                  <w:tcBorders>
                    <w:top w:val="nil"/>
                    <w:left w:val="nil"/>
                    <w:bottom w:val="single" w:sz="4" w:space="0" w:color="auto"/>
                    <w:right w:val="single" w:sz="4" w:space="0" w:color="auto"/>
                  </w:tcBorders>
                  <w:shd w:val="clear" w:color="auto" w:fill="auto"/>
                  <w:noWrap/>
                  <w:vAlign w:val="center"/>
                  <w:hideMark/>
                </w:tcPr>
                <w:p w14:paraId="0FDE93D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2.86</w:t>
                  </w:r>
                </w:p>
              </w:tc>
              <w:tc>
                <w:tcPr>
                  <w:tcW w:w="500" w:type="dxa"/>
                  <w:tcBorders>
                    <w:top w:val="nil"/>
                    <w:left w:val="nil"/>
                    <w:bottom w:val="single" w:sz="4" w:space="0" w:color="auto"/>
                    <w:right w:val="single" w:sz="4" w:space="0" w:color="auto"/>
                  </w:tcBorders>
                  <w:shd w:val="clear" w:color="auto" w:fill="auto"/>
                  <w:noWrap/>
                  <w:vAlign w:val="center"/>
                  <w:hideMark/>
                </w:tcPr>
                <w:p w14:paraId="0FDE93D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1.18</w:t>
                  </w:r>
                </w:p>
              </w:tc>
              <w:tc>
                <w:tcPr>
                  <w:tcW w:w="500" w:type="dxa"/>
                  <w:tcBorders>
                    <w:top w:val="nil"/>
                    <w:left w:val="nil"/>
                    <w:bottom w:val="single" w:sz="4" w:space="0" w:color="auto"/>
                    <w:right w:val="single" w:sz="4" w:space="0" w:color="auto"/>
                  </w:tcBorders>
                  <w:shd w:val="clear" w:color="auto" w:fill="auto"/>
                  <w:noWrap/>
                  <w:vAlign w:val="center"/>
                  <w:hideMark/>
                </w:tcPr>
                <w:p w14:paraId="0FDE93D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0.05</w:t>
                  </w:r>
                </w:p>
              </w:tc>
              <w:tc>
                <w:tcPr>
                  <w:tcW w:w="500" w:type="dxa"/>
                  <w:tcBorders>
                    <w:top w:val="nil"/>
                    <w:left w:val="nil"/>
                    <w:bottom w:val="single" w:sz="4" w:space="0" w:color="auto"/>
                    <w:right w:val="single" w:sz="4" w:space="0" w:color="auto"/>
                  </w:tcBorders>
                  <w:shd w:val="clear" w:color="auto" w:fill="auto"/>
                  <w:noWrap/>
                  <w:vAlign w:val="center"/>
                  <w:hideMark/>
                </w:tcPr>
                <w:p w14:paraId="0FDE93D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3.03</w:t>
                  </w:r>
                </w:p>
              </w:tc>
              <w:tc>
                <w:tcPr>
                  <w:tcW w:w="500" w:type="dxa"/>
                  <w:tcBorders>
                    <w:top w:val="nil"/>
                    <w:left w:val="nil"/>
                    <w:bottom w:val="single" w:sz="4" w:space="0" w:color="auto"/>
                    <w:right w:val="single" w:sz="4" w:space="0" w:color="auto"/>
                  </w:tcBorders>
                  <w:shd w:val="clear" w:color="auto" w:fill="auto"/>
                  <w:noWrap/>
                  <w:vAlign w:val="center"/>
                  <w:hideMark/>
                </w:tcPr>
                <w:p w14:paraId="0FDE93D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nil"/>
                    <w:left w:val="nil"/>
                    <w:bottom w:val="single" w:sz="4" w:space="0" w:color="auto"/>
                    <w:right w:val="single" w:sz="4" w:space="0" w:color="auto"/>
                  </w:tcBorders>
                  <w:shd w:val="clear" w:color="auto" w:fill="auto"/>
                  <w:noWrap/>
                  <w:vAlign w:val="center"/>
                  <w:hideMark/>
                </w:tcPr>
                <w:p w14:paraId="0FDE93D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1.36</w:t>
                  </w:r>
                </w:p>
              </w:tc>
              <w:tc>
                <w:tcPr>
                  <w:tcW w:w="500" w:type="dxa"/>
                  <w:tcBorders>
                    <w:top w:val="nil"/>
                    <w:left w:val="nil"/>
                    <w:bottom w:val="single" w:sz="4" w:space="0" w:color="auto"/>
                    <w:right w:val="single" w:sz="4" w:space="0" w:color="auto"/>
                  </w:tcBorders>
                  <w:shd w:val="clear" w:color="auto" w:fill="auto"/>
                  <w:noWrap/>
                  <w:vAlign w:val="center"/>
                  <w:hideMark/>
                </w:tcPr>
                <w:p w14:paraId="0FDE93D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0.66</w:t>
                  </w:r>
                </w:p>
              </w:tc>
              <w:tc>
                <w:tcPr>
                  <w:tcW w:w="500" w:type="dxa"/>
                  <w:tcBorders>
                    <w:top w:val="nil"/>
                    <w:left w:val="nil"/>
                    <w:bottom w:val="single" w:sz="4" w:space="0" w:color="auto"/>
                    <w:right w:val="single" w:sz="4" w:space="0" w:color="auto"/>
                  </w:tcBorders>
                  <w:shd w:val="clear" w:color="auto" w:fill="auto"/>
                  <w:noWrap/>
                  <w:vAlign w:val="center"/>
                  <w:hideMark/>
                </w:tcPr>
                <w:p w14:paraId="0FDE93D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1.55</w:t>
                  </w:r>
                </w:p>
              </w:tc>
              <w:tc>
                <w:tcPr>
                  <w:tcW w:w="500" w:type="dxa"/>
                  <w:tcBorders>
                    <w:top w:val="nil"/>
                    <w:left w:val="nil"/>
                    <w:bottom w:val="single" w:sz="4" w:space="0" w:color="auto"/>
                    <w:right w:val="single" w:sz="4" w:space="0" w:color="auto"/>
                  </w:tcBorders>
                  <w:shd w:val="clear" w:color="auto" w:fill="auto"/>
                  <w:noWrap/>
                  <w:vAlign w:val="center"/>
                  <w:hideMark/>
                </w:tcPr>
                <w:p w14:paraId="0FDE93D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1.02</w:t>
                  </w:r>
                </w:p>
              </w:tc>
              <w:tc>
                <w:tcPr>
                  <w:tcW w:w="500" w:type="dxa"/>
                  <w:tcBorders>
                    <w:top w:val="nil"/>
                    <w:left w:val="nil"/>
                    <w:bottom w:val="single" w:sz="4" w:space="0" w:color="auto"/>
                    <w:right w:val="single" w:sz="4" w:space="0" w:color="auto"/>
                  </w:tcBorders>
                  <w:shd w:val="clear" w:color="auto" w:fill="auto"/>
                  <w:noWrap/>
                  <w:vAlign w:val="center"/>
                  <w:hideMark/>
                </w:tcPr>
                <w:p w14:paraId="0FDE93E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3E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3E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18.00</w:t>
                  </w:r>
                </w:p>
              </w:tc>
            </w:tr>
            <w:tr w:rsidR="007A4D7C" w14:paraId="0FDE93F2"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E4"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-0.23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1.45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-1.96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1.42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F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F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1.03</w:t>
                  </w:r>
                </w:p>
              </w:tc>
            </w:tr>
            <w:tr w:rsidR="007A4D7C" w14:paraId="0FDE9401"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F3"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2011</w:t>
                  </w:r>
                </w:p>
              </w:tc>
              <w:tc>
                <w:tcPr>
                  <w:tcW w:w="500" w:type="dxa"/>
                  <w:tcBorders>
                    <w:top w:val="nil"/>
                    <w:left w:val="nil"/>
                    <w:bottom w:val="single" w:sz="4" w:space="0" w:color="auto"/>
                    <w:right w:val="single" w:sz="4" w:space="0" w:color="auto"/>
                  </w:tcBorders>
                  <w:shd w:val="clear" w:color="auto" w:fill="auto"/>
                  <w:noWrap/>
                  <w:vAlign w:val="center"/>
                  <w:hideMark/>
                </w:tcPr>
                <w:p w14:paraId="0FDE93F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0.66</w:t>
                  </w:r>
                </w:p>
              </w:tc>
              <w:tc>
                <w:tcPr>
                  <w:tcW w:w="500" w:type="dxa"/>
                  <w:tcBorders>
                    <w:top w:val="nil"/>
                    <w:left w:val="nil"/>
                    <w:bottom w:val="single" w:sz="4" w:space="0" w:color="auto"/>
                    <w:right w:val="single" w:sz="4" w:space="0" w:color="auto"/>
                  </w:tcBorders>
                  <w:shd w:val="clear" w:color="auto" w:fill="auto"/>
                  <w:noWrap/>
                  <w:vAlign w:val="center"/>
                  <w:hideMark/>
                </w:tcPr>
                <w:p w14:paraId="0FDE93F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0.52</w:t>
                  </w:r>
                </w:p>
              </w:tc>
              <w:tc>
                <w:tcPr>
                  <w:tcW w:w="500" w:type="dxa"/>
                  <w:tcBorders>
                    <w:top w:val="nil"/>
                    <w:left w:val="nil"/>
                    <w:bottom w:val="single" w:sz="4" w:space="0" w:color="auto"/>
                    <w:right w:val="single" w:sz="4" w:space="0" w:color="auto"/>
                  </w:tcBorders>
                  <w:shd w:val="clear" w:color="auto" w:fill="auto"/>
                  <w:noWrap/>
                  <w:vAlign w:val="center"/>
                  <w:hideMark/>
                </w:tcPr>
                <w:p w14:paraId="0FDE93F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0.78</w:t>
                  </w:r>
                </w:p>
              </w:tc>
              <w:tc>
                <w:tcPr>
                  <w:tcW w:w="500" w:type="dxa"/>
                  <w:tcBorders>
                    <w:top w:val="nil"/>
                    <w:left w:val="nil"/>
                    <w:bottom w:val="single" w:sz="4" w:space="0" w:color="auto"/>
                    <w:right w:val="single" w:sz="4" w:space="0" w:color="auto"/>
                  </w:tcBorders>
                  <w:shd w:val="clear" w:color="auto" w:fill="auto"/>
                  <w:noWrap/>
                  <w:vAlign w:val="center"/>
                  <w:hideMark/>
                </w:tcPr>
                <w:p w14:paraId="0FDE93F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0.51</w:t>
                  </w:r>
                </w:p>
              </w:tc>
              <w:tc>
                <w:tcPr>
                  <w:tcW w:w="500" w:type="dxa"/>
                  <w:tcBorders>
                    <w:top w:val="nil"/>
                    <w:left w:val="nil"/>
                    <w:bottom w:val="single" w:sz="4" w:space="0" w:color="auto"/>
                    <w:right w:val="single" w:sz="4" w:space="0" w:color="auto"/>
                  </w:tcBorders>
                  <w:shd w:val="clear" w:color="auto" w:fill="auto"/>
                  <w:noWrap/>
                  <w:vAlign w:val="center"/>
                  <w:hideMark/>
                </w:tcPr>
                <w:p w14:paraId="0FDE93F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0.59</w:t>
                  </w:r>
                </w:p>
              </w:tc>
              <w:tc>
                <w:tcPr>
                  <w:tcW w:w="500" w:type="dxa"/>
                  <w:tcBorders>
                    <w:top w:val="nil"/>
                    <w:left w:val="nil"/>
                    <w:bottom w:val="single" w:sz="4" w:space="0" w:color="auto"/>
                    <w:right w:val="single" w:sz="4" w:space="0" w:color="auto"/>
                  </w:tcBorders>
                  <w:shd w:val="clear" w:color="auto" w:fill="auto"/>
                  <w:noWrap/>
                  <w:vAlign w:val="center"/>
                  <w:hideMark/>
                </w:tcPr>
                <w:p w14:paraId="0FDE93F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-0.56</w:t>
                  </w:r>
                </w:p>
              </w:tc>
              <w:tc>
                <w:tcPr>
                  <w:tcW w:w="500" w:type="dxa"/>
                  <w:tcBorders>
                    <w:top w:val="nil"/>
                    <w:left w:val="nil"/>
                    <w:bottom w:val="single" w:sz="4" w:space="0" w:color="auto"/>
                    <w:right w:val="single" w:sz="4" w:space="0" w:color="auto"/>
                  </w:tcBorders>
                  <w:shd w:val="clear" w:color="auto" w:fill="auto"/>
                  <w:noWrap/>
                  <w:vAlign w:val="center"/>
                  <w:hideMark/>
                </w:tcPr>
                <w:p w14:paraId="0FDE93F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2.22</w:t>
                  </w:r>
                </w:p>
              </w:tc>
              <w:tc>
                <w:tcPr>
                  <w:tcW w:w="500" w:type="dxa"/>
                  <w:tcBorders>
                    <w:top w:val="nil"/>
                    <w:left w:val="nil"/>
                    <w:bottom w:val="single" w:sz="4" w:space="0" w:color="auto"/>
                    <w:right w:val="single" w:sz="4" w:space="0" w:color="auto"/>
                  </w:tcBorders>
                  <w:shd w:val="clear" w:color="auto" w:fill="auto"/>
                  <w:noWrap/>
                  <w:vAlign w:val="center"/>
                  <w:hideMark/>
                </w:tcPr>
                <w:p w14:paraId="0FDE93F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6.24</w:t>
                  </w:r>
                </w:p>
              </w:tc>
              <w:tc>
                <w:tcPr>
                  <w:tcW w:w="500" w:type="dxa"/>
                  <w:tcBorders>
                    <w:top w:val="nil"/>
                    <w:left w:val="nil"/>
                    <w:bottom w:val="single" w:sz="4" w:space="0" w:color="auto"/>
                    <w:right w:val="single" w:sz="4" w:space="0" w:color="auto"/>
                  </w:tcBorders>
                  <w:shd w:val="clear" w:color="auto" w:fill="auto"/>
                  <w:noWrap/>
                  <w:vAlign w:val="center"/>
                  <w:hideMark/>
                </w:tcPr>
                <w:p w14:paraId="0FDE93F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0.39</w:t>
                  </w:r>
                </w:p>
              </w:tc>
              <w:tc>
                <w:tcPr>
                  <w:tcW w:w="500" w:type="dxa"/>
                  <w:tcBorders>
                    <w:top w:val="nil"/>
                    <w:left w:val="nil"/>
                    <w:bottom w:val="single" w:sz="4" w:space="0" w:color="auto"/>
                    <w:right w:val="single" w:sz="4" w:space="0" w:color="auto"/>
                  </w:tcBorders>
                  <w:shd w:val="clear" w:color="auto" w:fill="auto"/>
                  <w:noWrap/>
                  <w:vAlign w:val="center"/>
                  <w:hideMark/>
                </w:tcPr>
                <w:p w14:paraId="0FDE93F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-0.73</w:t>
                  </w:r>
                </w:p>
              </w:tc>
              <w:tc>
                <w:tcPr>
                  <w:tcW w:w="500" w:type="dxa"/>
                  <w:tcBorders>
                    <w:top w:val="nil"/>
                    <w:left w:val="nil"/>
                    <w:bottom w:val="single" w:sz="4" w:space="0" w:color="auto"/>
                    <w:right w:val="single" w:sz="4" w:space="0" w:color="auto"/>
                  </w:tcBorders>
                  <w:shd w:val="clear" w:color="auto" w:fill="auto"/>
                  <w:noWrap/>
                  <w:vAlign w:val="center"/>
                  <w:hideMark/>
                </w:tcPr>
                <w:p w14:paraId="0FDE93F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1.71</w:t>
                  </w:r>
                </w:p>
              </w:tc>
              <w:tc>
                <w:tcPr>
                  <w:tcW w:w="500" w:type="dxa"/>
                  <w:tcBorders>
                    <w:top w:val="nil"/>
                    <w:left w:val="nil"/>
                    <w:bottom w:val="single" w:sz="4" w:space="0" w:color="auto"/>
                    <w:right w:val="single" w:sz="4" w:space="0" w:color="auto"/>
                  </w:tcBorders>
                  <w:shd w:val="clear" w:color="auto" w:fill="auto"/>
                  <w:noWrap/>
                  <w:vAlign w:val="center"/>
                  <w:hideMark/>
                </w:tcPr>
                <w:p w14:paraId="0FDE93F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-0.46</w:t>
                  </w:r>
                </w:p>
              </w:tc>
              <w:tc>
                <w:tcPr>
                  <w:tcW w:w="500" w:type="dxa"/>
                  <w:tcBorders>
                    <w:top w:val="nil"/>
                    <w:left w:val="nil"/>
                    <w:bottom w:val="single" w:sz="4" w:space="0" w:color="auto"/>
                    <w:right w:val="single" w:sz="4" w:space="0" w:color="auto"/>
                  </w:tcBorders>
                  <w:shd w:val="clear" w:color="auto" w:fill="auto"/>
                  <w:noWrap/>
                  <w:vAlign w:val="center"/>
                  <w:hideMark/>
                </w:tcPr>
                <w:p w14:paraId="0FDE940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12.34</w:t>
                  </w:r>
                </w:p>
              </w:tc>
            </w:tr>
            <w:tr w:rsidR="007A4D7C" w14:paraId="0FDE9410"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402"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0.27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-1.80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-2.19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1.95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1.66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3.94</w:t>
                  </w:r>
                </w:p>
              </w:tc>
            </w:tr>
            <w:tr w:rsidR="007A4D7C" w14:paraId="0FDE941F"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41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2013</w:t>
                  </w:r>
                </w:p>
              </w:tc>
              <w:tc>
                <w:tcPr>
                  <w:tcW w:w="500" w:type="dxa"/>
                  <w:tcBorders>
                    <w:top w:val="nil"/>
                    <w:left w:val="nil"/>
                    <w:bottom w:val="single" w:sz="4" w:space="0" w:color="auto"/>
                    <w:right w:val="single" w:sz="4" w:space="0" w:color="auto"/>
                  </w:tcBorders>
                  <w:shd w:val="clear" w:color="auto" w:fill="auto"/>
                  <w:noWrap/>
                  <w:vAlign w:val="center"/>
                  <w:hideMark/>
                </w:tcPr>
                <w:p w14:paraId="0FDE941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1.03</w:t>
                  </w:r>
                </w:p>
              </w:tc>
              <w:tc>
                <w:tcPr>
                  <w:tcW w:w="500" w:type="dxa"/>
                  <w:tcBorders>
                    <w:top w:val="nil"/>
                    <w:left w:val="nil"/>
                    <w:bottom w:val="single" w:sz="4" w:space="0" w:color="auto"/>
                    <w:right w:val="single" w:sz="4" w:space="0" w:color="auto"/>
                  </w:tcBorders>
                  <w:shd w:val="clear" w:color="auto" w:fill="auto"/>
                  <w:noWrap/>
                  <w:vAlign w:val="center"/>
                  <w:hideMark/>
                </w:tcPr>
                <w:p w14:paraId="0FDE941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2.43</w:t>
                  </w:r>
                </w:p>
              </w:tc>
              <w:tc>
                <w:tcPr>
                  <w:tcW w:w="500" w:type="dxa"/>
                  <w:tcBorders>
                    <w:top w:val="nil"/>
                    <w:left w:val="nil"/>
                    <w:bottom w:val="single" w:sz="4" w:space="0" w:color="auto"/>
                    <w:right w:val="single" w:sz="4" w:space="0" w:color="auto"/>
                  </w:tcBorders>
                  <w:shd w:val="clear" w:color="auto" w:fill="auto"/>
                  <w:noWrap/>
                  <w:vAlign w:val="center"/>
                  <w:hideMark/>
                </w:tcPr>
                <w:p w14:paraId="0FDE941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41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3.42</w:t>
                  </w:r>
                </w:p>
              </w:tc>
              <w:tc>
                <w:tcPr>
                  <w:tcW w:w="500" w:type="dxa"/>
                  <w:tcBorders>
                    <w:top w:val="nil"/>
                    <w:left w:val="nil"/>
                    <w:bottom w:val="single" w:sz="4" w:space="0" w:color="auto"/>
                    <w:right w:val="single" w:sz="4" w:space="0" w:color="auto"/>
                  </w:tcBorders>
                  <w:shd w:val="clear" w:color="auto" w:fill="auto"/>
                  <w:noWrap/>
                  <w:vAlign w:val="center"/>
                  <w:hideMark/>
                </w:tcPr>
                <w:p w14:paraId="0FDE941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-0.08</w:t>
                  </w:r>
                </w:p>
              </w:tc>
              <w:tc>
                <w:tcPr>
                  <w:tcW w:w="500" w:type="dxa"/>
                  <w:tcBorders>
                    <w:top w:val="nil"/>
                    <w:left w:val="nil"/>
                    <w:bottom w:val="single" w:sz="4" w:space="0" w:color="auto"/>
                    <w:right w:val="single" w:sz="4" w:space="0" w:color="auto"/>
                  </w:tcBorders>
                  <w:shd w:val="clear" w:color="auto" w:fill="auto"/>
                  <w:noWrap/>
                  <w:vAlign w:val="center"/>
                  <w:hideMark/>
                </w:tcPr>
                <w:p w14:paraId="0FDE941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-2.95</w:t>
                  </w:r>
                </w:p>
              </w:tc>
              <w:tc>
                <w:tcPr>
                  <w:tcW w:w="500" w:type="dxa"/>
                  <w:tcBorders>
                    <w:top w:val="nil"/>
                    <w:left w:val="nil"/>
                    <w:bottom w:val="single" w:sz="4" w:space="0" w:color="auto"/>
                    <w:right w:val="single" w:sz="4" w:space="0" w:color="auto"/>
                  </w:tcBorders>
                  <w:shd w:val="clear" w:color="auto" w:fill="auto"/>
                  <w:noWrap/>
                  <w:vAlign w:val="center"/>
                  <w:hideMark/>
                </w:tcPr>
                <w:p w14:paraId="0FDE941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-0.80</w:t>
                  </w:r>
                </w:p>
              </w:tc>
              <w:tc>
                <w:tcPr>
                  <w:tcW w:w="500" w:type="dxa"/>
                  <w:tcBorders>
                    <w:top w:val="nil"/>
                    <w:left w:val="nil"/>
                    <w:bottom w:val="single" w:sz="4" w:space="0" w:color="auto"/>
                    <w:right w:val="single" w:sz="4" w:space="0" w:color="auto"/>
                  </w:tcBorders>
                  <w:shd w:val="clear" w:color="auto" w:fill="auto"/>
                  <w:noWrap/>
                  <w:vAlign w:val="center"/>
                  <w:hideMark/>
                </w:tcPr>
                <w:p w14:paraId="0FDE941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-1.51</w:t>
                  </w:r>
                </w:p>
              </w:tc>
              <w:tc>
                <w:tcPr>
                  <w:tcW w:w="500" w:type="dxa"/>
                  <w:tcBorders>
                    <w:top w:val="nil"/>
                    <w:left w:val="nil"/>
                    <w:bottom w:val="single" w:sz="4" w:space="0" w:color="auto"/>
                    <w:right w:val="single" w:sz="4" w:space="0" w:color="auto"/>
                  </w:tcBorders>
                  <w:shd w:val="clear" w:color="auto" w:fill="auto"/>
                  <w:noWrap/>
                  <w:vAlign w:val="center"/>
                  <w:hideMark/>
                </w:tcPr>
                <w:p w14:paraId="0FDE941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0.06</w:t>
                  </w:r>
                </w:p>
              </w:tc>
              <w:tc>
                <w:tcPr>
                  <w:tcW w:w="500" w:type="dxa"/>
                  <w:tcBorders>
                    <w:top w:val="nil"/>
                    <w:left w:val="nil"/>
                    <w:bottom w:val="single" w:sz="4" w:space="0" w:color="auto"/>
                    <w:right w:val="single" w:sz="4" w:space="0" w:color="auto"/>
                  </w:tcBorders>
                  <w:shd w:val="clear" w:color="auto" w:fill="auto"/>
                  <w:noWrap/>
                  <w:vAlign w:val="center"/>
                  <w:hideMark/>
                </w:tcPr>
                <w:p w14:paraId="0FDE941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-0.55</w:t>
                  </w:r>
                </w:p>
              </w:tc>
              <w:tc>
                <w:tcPr>
                  <w:tcW w:w="500" w:type="dxa"/>
                  <w:tcBorders>
                    <w:top w:val="nil"/>
                    <w:left w:val="nil"/>
                    <w:bottom w:val="single" w:sz="4" w:space="0" w:color="auto"/>
                    <w:right w:val="single" w:sz="4" w:space="0" w:color="auto"/>
                  </w:tcBorders>
                  <w:shd w:val="clear" w:color="auto" w:fill="auto"/>
                  <w:noWrap/>
                  <w:vAlign w:val="center"/>
                  <w:hideMark/>
                </w:tcPr>
                <w:p w14:paraId="0FDE941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1.36</w:t>
                  </w:r>
                </w:p>
              </w:tc>
              <w:tc>
                <w:tcPr>
                  <w:tcW w:w="500" w:type="dxa"/>
                  <w:tcBorders>
                    <w:top w:val="nil"/>
                    <w:left w:val="nil"/>
                    <w:bottom w:val="single" w:sz="4" w:space="0" w:color="auto"/>
                    <w:right w:val="single" w:sz="4" w:space="0" w:color="auto"/>
                  </w:tcBorders>
                  <w:shd w:val="clear" w:color="auto" w:fill="auto"/>
                  <w:noWrap/>
                  <w:vAlign w:val="center"/>
                  <w:hideMark/>
                </w:tcPr>
                <w:p w14:paraId="0FDE941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0.41</w:t>
                  </w:r>
                </w:p>
              </w:tc>
              <w:tc>
                <w:tcPr>
                  <w:tcW w:w="500" w:type="dxa"/>
                  <w:tcBorders>
                    <w:top w:val="nil"/>
                    <w:left w:val="nil"/>
                    <w:bottom w:val="single" w:sz="4" w:space="0" w:color="auto"/>
                    <w:right w:val="single" w:sz="4" w:space="0" w:color="auto"/>
                  </w:tcBorders>
                  <w:shd w:val="clear" w:color="auto" w:fill="auto"/>
                  <w:noWrap/>
                  <w:vAlign w:val="center"/>
                  <w:hideMark/>
                </w:tcPr>
                <w:p w14:paraId="0FDE941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3.09</w:t>
                  </w:r>
                </w:p>
              </w:tc>
            </w:tr>
            <w:tr w:rsidR="007A4D7C" w14:paraId="0FDE942E" w14:textId="77777777" w:rsidTr="000A4326">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42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4.29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-1.70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42C" w14:textId="77777777" w:rsidR="007A4D7C" w:rsidRDefault="00674259" w:rsidP="007A4D7C">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42D" w14:textId="77777777" w:rsidR="007A4D7C" w:rsidRDefault="00674259" w:rsidP="007A4D7C">
                  <w:pPr>
                    <w:spacing w:after="0"/>
                    <w:jc w:val="right"/>
                    <w:rPr>
                      <w:rFonts w:ascii="Arial" w:hAnsi="Arial" w:cs="Arial"/>
                      <w:color w:val="000000"/>
                      <w:sz w:val="13"/>
                      <w:szCs w:val="13"/>
                    </w:rPr>
                  </w:pPr>
                  <w:r>
                    <w:rPr>
                      <w:rFonts w:ascii="Arial" w:hAnsi="Arial" w:cs="Arial"/>
                      <w:color w:val="000000"/>
                      <w:sz w:val="13"/>
                      <w:szCs w:val="13"/>
                    </w:rPr>
                    <w:t>0.26</w:t>
                  </w:r>
                </w:p>
              </w:tc>
            </w:tr>
            <w:tr w:rsidR="000A4326" w14:paraId="0FDE943D"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42F" w14:textId="77777777" w:rsidR="000A4326" w:rsidRDefault="000A4326" w:rsidP="007A4D7C">
                  <w:pPr>
                    <w:spacing w:after="0"/>
                    <w:jc w:val="center"/>
                    <w:rPr>
                      <w:rFonts w:ascii="Arial" w:hAnsi="Arial" w:cs="Arial"/>
                      <w:b/>
                      <w:bCs/>
                      <w:color w:val="000000"/>
                      <w:sz w:val="13"/>
                      <w:szCs w:val="13"/>
                    </w:rPr>
                  </w:pPr>
                  <w:r>
                    <w:rPr>
                      <w:rFonts w:ascii="Arial" w:hAnsi="Arial" w:cs="Arial"/>
                      <w:b/>
                      <w:bCs/>
                      <w:color w:val="000000"/>
                      <w:sz w:val="13"/>
                      <w:szCs w:val="13"/>
                    </w:rPr>
                    <w:t>2015</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0" w14:textId="77777777" w:rsidR="000A4326" w:rsidRDefault="00580462" w:rsidP="007A4D7C">
                  <w:pPr>
                    <w:spacing w:after="0"/>
                    <w:jc w:val="right"/>
                    <w:rPr>
                      <w:rFonts w:ascii="Arial" w:hAnsi="Arial" w:cs="Arial"/>
                      <w:color w:val="000000"/>
                      <w:sz w:val="13"/>
                      <w:szCs w:val="13"/>
                    </w:rPr>
                  </w:pPr>
                  <w:r>
                    <w:rPr>
                      <w:rFonts w:ascii="Arial" w:hAnsi="Arial" w:cs="Arial"/>
                      <w:color w:val="000000"/>
                      <w:sz w:val="13"/>
                      <w:szCs w:val="13"/>
                    </w:rPr>
                    <w:t>3.26</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1" w14:textId="77777777" w:rsidR="008C7461" w:rsidRDefault="00EE1F6E" w:rsidP="008C7461">
                  <w:pPr>
                    <w:spacing w:after="0"/>
                    <w:jc w:val="right"/>
                    <w:rPr>
                      <w:rFonts w:ascii="Arial" w:hAnsi="Arial" w:cs="Arial"/>
                      <w:color w:val="000000"/>
                      <w:sz w:val="13"/>
                      <w:szCs w:val="13"/>
                    </w:rPr>
                  </w:pPr>
                  <w:r>
                    <w:rPr>
                      <w:rFonts w:ascii="Arial" w:hAnsi="Arial" w:cs="Arial"/>
                      <w:color w:val="000000"/>
                      <w:sz w:val="13"/>
                      <w:szCs w:val="13"/>
                    </w:rPr>
                    <w:t>-0.58</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2" w14:textId="77777777" w:rsidR="000A4326" w:rsidRDefault="008809FF" w:rsidP="007A4D7C">
                  <w:pPr>
                    <w:spacing w:after="0"/>
                    <w:jc w:val="right"/>
                    <w:rPr>
                      <w:rFonts w:ascii="Arial" w:hAnsi="Arial" w:cs="Arial"/>
                      <w:color w:val="000000"/>
                      <w:sz w:val="13"/>
                      <w:szCs w:val="13"/>
                    </w:rPr>
                  </w:pPr>
                  <w:r>
                    <w:rPr>
                      <w:rFonts w:ascii="Arial" w:hAnsi="Arial" w:cs="Arial"/>
                      <w:color w:val="000000"/>
                      <w:sz w:val="13"/>
                      <w:szCs w:val="13"/>
                    </w:rPr>
                    <w:t>0.38</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3" w14:textId="77777777" w:rsidR="000A4326" w:rsidRPr="00C23569" w:rsidRDefault="002C1031" w:rsidP="0047197A">
                  <w:pPr>
                    <w:spacing w:after="0"/>
                    <w:jc w:val="right"/>
                    <w:rPr>
                      <w:rFonts w:ascii="Arial" w:hAnsi="Arial" w:cs="Arial"/>
                      <w:color w:val="000000"/>
                      <w:sz w:val="13"/>
                      <w:szCs w:val="13"/>
                    </w:rPr>
                  </w:pPr>
                  <w:r w:rsidRPr="00C23569">
                    <w:rPr>
                      <w:rFonts w:ascii="Arial" w:hAnsi="Arial" w:cs="Arial"/>
                      <w:color w:val="000000"/>
                      <w:sz w:val="13"/>
                      <w:szCs w:val="13"/>
                    </w:rPr>
                    <w:t>-1.</w:t>
                  </w:r>
                  <w:r w:rsidR="0047197A" w:rsidRPr="00C23569">
                    <w:rPr>
                      <w:rFonts w:ascii="Arial" w:hAnsi="Arial" w:cs="Arial"/>
                      <w:color w:val="000000"/>
                      <w:sz w:val="13"/>
                      <w:szCs w:val="13"/>
                    </w:rPr>
                    <w:t>20</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4" w14:textId="77777777" w:rsidR="000A4326" w:rsidRPr="00C23569" w:rsidRDefault="00897DBC" w:rsidP="00A7286E">
                  <w:pPr>
                    <w:spacing w:after="0"/>
                    <w:jc w:val="right"/>
                    <w:rPr>
                      <w:rFonts w:ascii="Arial" w:hAnsi="Arial" w:cs="Arial"/>
                      <w:color w:val="000000"/>
                      <w:sz w:val="13"/>
                      <w:szCs w:val="13"/>
                    </w:rPr>
                  </w:pPr>
                  <w:r w:rsidRPr="00C23569">
                    <w:rPr>
                      <w:rFonts w:ascii="Arial" w:hAnsi="Arial" w:cs="Arial"/>
                      <w:color w:val="000000"/>
                      <w:sz w:val="13"/>
                      <w:szCs w:val="13"/>
                    </w:rPr>
                    <w:t>0.</w:t>
                  </w:r>
                  <w:r w:rsidR="00A7286E" w:rsidRPr="00C23569">
                    <w:rPr>
                      <w:rFonts w:ascii="Arial" w:hAnsi="Arial" w:cs="Arial"/>
                      <w:color w:val="000000"/>
                      <w:sz w:val="13"/>
                      <w:szCs w:val="13"/>
                    </w:rPr>
                    <w:t>97</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5" w14:textId="77777777" w:rsidR="000A4326" w:rsidRPr="00C23569" w:rsidRDefault="00C83925" w:rsidP="008F61E2">
                  <w:pPr>
                    <w:spacing w:after="0"/>
                    <w:jc w:val="right"/>
                    <w:rPr>
                      <w:rFonts w:ascii="Arial" w:hAnsi="Arial" w:cs="Arial"/>
                      <w:color w:val="000000"/>
                      <w:sz w:val="13"/>
                      <w:szCs w:val="13"/>
                    </w:rPr>
                  </w:pPr>
                  <w:r w:rsidRPr="00C23569">
                    <w:rPr>
                      <w:rFonts w:ascii="Arial" w:hAnsi="Arial" w:cs="Arial"/>
                      <w:color w:val="000000"/>
                      <w:sz w:val="13"/>
                      <w:szCs w:val="13"/>
                    </w:rPr>
                    <w:t>-0.</w:t>
                  </w:r>
                  <w:r w:rsidR="008F61E2" w:rsidRPr="00C23569">
                    <w:rPr>
                      <w:rFonts w:ascii="Arial" w:hAnsi="Arial" w:cs="Arial"/>
                      <w:color w:val="000000"/>
                      <w:sz w:val="13"/>
                      <w:szCs w:val="13"/>
                    </w:rPr>
                    <w:t>93</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6" w14:textId="77777777" w:rsidR="000A4326" w:rsidRPr="00C23569" w:rsidRDefault="00667749" w:rsidP="007A4D7C">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7" w14:textId="77777777" w:rsidR="000A4326" w:rsidRDefault="001F7BE8" w:rsidP="007A4D7C">
                  <w:pPr>
                    <w:spacing w:after="0"/>
                    <w:jc w:val="right"/>
                    <w:rPr>
                      <w:rFonts w:ascii="Arial" w:hAnsi="Arial" w:cs="Arial"/>
                      <w:color w:val="000000"/>
                      <w:sz w:val="13"/>
                      <w:szCs w:val="13"/>
                    </w:rPr>
                  </w:pPr>
                  <w:r>
                    <w:rPr>
                      <w:rFonts w:ascii="Arial" w:hAnsi="Arial" w:cs="Arial"/>
                      <w:color w:val="000000"/>
                      <w:sz w:val="13"/>
                      <w:szCs w:val="13"/>
                    </w:rPr>
                    <w:t>-0.74</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8" w14:textId="77777777" w:rsidR="000A4326" w:rsidRDefault="00841024" w:rsidP="007A4D7C">
                  <w:pPr>
                    <w:spacing w:after="0"/>
                    <w:jc w:val="right"/>
                    <w:rPr>
                      <w:rFonts w:ascii="Arial" w:hAnsi="Arial" w:cs="Arial"/>
                      <w:color w:val="000000"/>
                      <w:sz w:val="13"/>
                      <w:szCs w:val="13"/>
                    </w:rPr>
                  </w:pPr>
                  <w:r>
                    <w:rPr>
                      <w:rFonts w:ascii="Arial" w:hAnsi="Arial" w:cs="Arial"/>
                      <w:color w:val="000000"/>
                      <w:sz w:val="13"/>
                      <w:szCs w:val="13"/>
                    </w:rPr>
                    <w:t>-0.63</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9" w14:textId="77777777" w:rsidR="000A4326" w:rsidRDefault="0043685C" w:rsidP="0043685C">
                  <w:pPr>
                    <w:spacing w:after="0"/>
                    <w:jc w:val="right"/>
                    <w:rPr>
                      <w:rFonts w:ascii="Arial" w:hAnsi="Arial" w:cs="Arial"/>
                      <w:color w:val="000000"/>
                      <w:sz w:val="13"/>
                      <w:szCs w:val="13"/>
                    </w:rPr>
                  </w:pPr>
                  <w:r>
                    <w:rPr>
                      <w:rFonts w:ascii="Arial" w:hAnsi="Arial" w:cs="Arial"/>
                      <w:color w:val="000000"/>
                      <w:sz w:val="13"/>
                      <w:szCs w:val="13"/>
                    </w:rPr>
                    <w:t>-0.49</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A" w14:textId="5264C64A" w:rsidR="000A4326" w:rsidRDefault="0043685C" w:rsidP="000410E6">
                  <w:pPr>
                    <w:spacing w:after="0"/>
                    <w:jc w:val="right"/>
                    <w:rPr>
                      <w:rFonts w:ascii="Arial" w:hAnsi="Arial" w:cs="Arial"/>
                      <w:color w:val="000000"/>
                      <w:sz w:val="13"/>
                      <w:szCs w:val="13"/>
                    </w:rPr>
                  </w:pPr>
                  <w:r w:rsidRPr="000410E6">
                    <w:rPr>
                      <w:rFonts w:ascii="Arial" w:hAnsi="Arial" w:cs="Arial"/>
                      <w:color w:val="000000"/>
                      <w:sz w:val="13"/>
                      <w:szCs w:val="13"/>
                    </w:rPr>
                    <w:t>2.2</w:t>
                  </w:r>
                  <w:r w:rsidR="000410E6" w:rsidRPr="000410E6">
                    <w:rPr>
                      <w:rFonts w:ascii="Arial" w:hAnsi="Arial" w:cs="Arial"/>
                      <w:color w:val="000000"/>
                      <w:sz w:val="13"/>
                      <w:szCs w:val="13"/>
                    </w:rPr>
                    <w:t>7</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B" w14:textId="6DC633AF" w:rsidR="000A4326" w:rsidRDefault="00020CD9" w:rsidP="007D50D6">
                  <w:pPr>
                    <w:spacing w:after="0"/>
                    <w:jc w:val="right"/>
                    <w:rPr>
                      <w:rFonts w:ascii="Arial" w:hAnsi="Arial" w:cs="Arial"/>
                      <w:color w:val="000000"/>
                      <w:sz w:val="13"/>
                      <w:szCs w:val="13"/>
                    </w:rPr>
                  </w:pPr>
                  <w:r>
                    <w:rPr>
                      <w:rFonts w:ascii="Arial" w:hAnsi="Arial" w:cs="Arial"/>
                      <w:color w:val="000000"/>
                      <w:sz w:val="13"/>
                      <w:szCs w:val="13"/>
                    </w:rPr>
                    <w:t>-3.</w:t>
                  </w:r>
                  <w:r w:rsidR="007D50D6">
                    <w:rPr>
                      <w:rFonts w:ascii="Arial" w:hAnsi="Arial" w:cs="Arial"/>
                      <w:color w:val="000000"/>
                      <w:sz w:val="13"/>
                      <w:szCs w:val="13"/>
                    </w:rPr>
                    <w:t>39</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C" w14:textId="66F79CCA" w:rsidR="000A4326" w:rsidRDefault="00020CD9" w:rsidP="007D50D6">
                  <w:pPr>
                    <w:spacing w:after="0"/>
                    <w:jc w:val="right"/>
                    <w:rPr>
                      <w:rFonts w:ascii="Arial" w:hAnsi="Arial" w:cs="Arial"/>
                      <w:color w:val="000000"/>
                      <w:sz w:val="13"/>
                      <w:szCs w:val="13"/>
                    </w:rPr>
                  </w:pPr>
                  <w:r>
                    <w:rPr>
                      <w:rFonts w:ascii="Arial" w:hAnsi="Arial" w:cs="Arial"/>
                      <w:color w:val="000000"/>
                      <w:sz w:val="13"/>
                      <w:szCs w:val="13"/>
                    </w:rPr>
                    <w:t>-0.</w:t>
                  </w:r>
                  <w:r w:rsidR="007D50D6">
                    <w:rPr>
                      <w:rFonts w:ascii="Arial" w:hAnsi="Arial" w:cs="Arial"/>
                      <w:color w:val="000000"/>
                      <w:sz w:val="13"/>
                      <w:szCs w:val="13"/>
                    </w:rPr>
                    <w:t>86</w:t>
                  </w:r>
                </w:p>
              </w:tc>
            </w:tr>
            <w:tr w:rsidR="003A62D6" w14:paraId="408492DE"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580DCC9E" w14:textId="5AFFA122" w:rsidR="003A62D6" w:rsidRDefault="003A62D6" w:rsidP="003A62D6">
                  <w:pPr>
                    <w:spacing w:after="0"/>
                    <w:jc w:val="center"/>
                    <w:rPr>
                      <w:rFonts w:ascii="Arial" w:hAnsi="Arial" w:cs="Arial"/>
                      <w:b/>
                      <w:bCs/>
                      <w:color w:val="000000"/>
                      <w:sz w:val="13"/>
                      <w:szCs w:val="13"/>
                    </w:rPr>
                  </w:pPr>
                  <w:r>
                    <w:rPr>
                      <w:rFonts w:ascii="Arial" w:hAnsi="Arial" w:cs="Arial"/>
                      <w:b/>
                      <w:bCs/>
                      <w:color w:val="000000"/>
                      <w:sz w:val="13"/>
                      <w:szCs w:val="13"/>
                    </w:rPr>
                    <w:t>2016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46FB8E5" w14:textId="2B5D9EE8" w:rsidR="003A62D6" w:rsidRDefault="003A62D6" w:rsidP="00B4506C">
                  <w:pPr>
                    <w:spacing w:after="0"/>
                    <w:jc w:val="right"/>
                    <w:rPr>
                      <w:rFonts w:ascii="Arial" w:hAnsi="Arial" w:cs="Arial"/>
                      <w:color w:val="000000"/>
                      <w:sz w:val="13"/>
                      <w:szCs w:val="13"/>
                    </w:rPr>
                  </w:pPr>
                  <w:r>
                    <w:rPr>
                      <w:rFonts w:ascii="Arial" w:hAnsi="Arial" w:cs="Arial"/>
                      <w:color w:val="000000"/>
                      <w:sz w:val="13"/>
                      <w:szCs w:val="13"/>
                    </w:rPr>
                    <w:t>0.6</w:t>
                  </w:r>
                  <w:r w:rsidR="00B4506C">
                    <w:rPr>
                      <w:rFonts w:ascii="Arial" w:hAnsi="Arial" w:cs="Arial"/>
                      <w:color w:val="000000"/>
                      <w:sz w:val="13"/>
                      <w:szCs w:val="13"/>
                    </w:rPr>
                    <w:t>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D14E774" w14:textId="23E5BF47" w:rsidR="003A62D6" w:rsidRDefault="00CF0C2B" w:rsidP="00CF0C2B">
                  <w:pPr>
                    <w:spacing w:after="0"/>
                    <w:jc w:val="right"/>
                    <w:rPr>
                      <w:rFonts w:ascii="Arial" w:hAnsi="Arial" w:cs="Arial"/>
                      <w:color w:val="000000"/>
                      <w:sz w:val="13"/>
                      <w:szCs w:val="13"/>
                    </w:rPr>
                  </w:pPr>
                  <w:r>
                    <w:rPr>
                      <w:rFonts w:ascii="Arial" w:hAnsi="Arial" w:cs="Arial"/>
                      <w:color w:val="000000"/>
                      <w:sz w:val="13"/>
                      <w:szCs w:val="13"/>
                    </w:rPr>
                    <w:t>0.70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6004B2B" w14:textId="04EEBA96" w:rsidR="003A62D6" w:rsidRDefault="00EC76E5" w:rsidP="002E377D">
                  <w:pPr>
                    <w:spacing w:after="0"/>
                    <w:jc w:val="right"/>
                    <w:rPr>
                      <w:rFonts w:ascii="Arial" w:hAnsi="Arial" w:cs="Arial"/>
                      <w:color w:val="000000"/>
                      <w:sz w:val="13"/>
                      <w:szCs w:val="13"/>
                    </w:rPr>
                  </w:pPr>
                  <w:r>
                    <w:rPr>
                      <w:rFonts w:ascii="Arial" w:hAnsi="Arial" w:cs="Arial"/>
                      <w:color w:val="000000"/>
                      <w:sz w:val="13"/>
                      <w:szCs w:val="13"/>
                    </w:rPr>
                    <w:t>-1.</w:t>
                  </w:r>
                  <w:r w:rsidR="002E377D">
                    <w:rPr>
                      <w:rFonts w:ascii="Arial" w:hAnsi="Arial" w:cs="Arial"/>
                      <w:color w:val="000000"/>
                      <w:sz w:val="13"/>
                      <w:szCs w:val="13"/>
                    </w:rPr>
                    <w:t>78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4509E64" w14:textId="14D95684" w:rsidR="003A62D6" w:rsidRDefault="00AE4FE8" w:rsidP="00AE4FE8">
                  <w:pPr>
                    <w:spacing w:after="0"/>
                    <w:jc w:val="right"/>
                    <w:rPr>
                      <w:rFonts w:ascii="Arial" w:hAnsi="Arial" w:cs="Arial"/>
                      <w:color w:val="000000"/>
                      <w:sz w:val="13"/>
                      <w:szCs w:val="13"/>
                    </w:rPr>
                  </w:pPr>
                  <w:r>
                    <w:rPr>
                      <w:rFonts w:ascii="Arial" w:hAnsi="Arial" w:cs="Arial"/>
                      <w:color w:val="000000"/>
                      <w:sz w:val="13"/>
                      <w:szCs w:val="13"/>
                    </w:rPr>
                    <w:t>-0.82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3D94024" w14:textId="6EE4C7EE" w:rsidR="003A62D6" w:rsidRDefault="00C67685" w:rsidP="00C67685">
                  <w:pPr>
                    <w:spacing w:after="0"/>
                    <w:jc w:val="right"/>
                    <w:rPr>
                      <w:rFonts w:ascii="Arial" w:hAnsi="Arial" w:cs="Arial"/>
                      <w:color w:val="000000"/>
                      <w:sz w:val="13"/>
                      <w:szCs w:val="13"/>
                    </w:rPr>
                  </w:pPr>
                  <w:r>
                    <w:rPr>
                      <w:rFonts w:ascii="Arial" w:hAnsi="Arial" w:cs="Arial"/>
                      <w:color w:val="000000"/>
                      <w:sz w:val="13"/>
                      <w:szCs w:val="13"/>
                    </w:rPr>
                    <w:t>-0.30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407E6870" w14:textId="5FFEB8C4" w:rsidR="003A62D6" w:rsidRDefault="00C67685" w:rsidP="006643C5">
                  <w:pPr>
                    <w:spacing w:after="0"/>
                    <w:jc w:val="right"/>
                    <w:rPr>
                      <w:rFonts w:ascii="Arial" w:hAnsi="Arial" w:cs="Arial"/>
                      <w:color w:val="000000"/>
                      <w:sz w:val="13"/>
                      <w:szCs w:val="13"/>
                    </w:rPr>
                  </w:pPr>
                  <w:r>
                    <w:rPr>
                      <w:rFonts w:ascii="Arial" w:hAnsi="Arial" w:cs="Arial"/>
                      <w:color w:val="000000"/>
                      <w:sz w:val="13"/>
                      <w:szCs w:val="13"/>
                    </w:rPr>
                    <w:t>3.</w:t>
                  </w:r>
                  <w:r w:rsidR="006643C5">
                    <w:rPr>
                      <w:rFonts w:ascii="Arial" w:hAnsi="Arial" w:cs="Arial"/>
                      <w:color w:val="000000"/>
                      <w:sz w:val="13"/>
                      <w:szCs w:val="13"/>
                    </w:rPr>
                    <w:t>31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4C7975D7" w14:textId="43CA1150" w:rsidR="003A62D6" w:rsidRDefault="00062454" w:rsidP="003A62D6">
                  <w:pPr>
                    <w:spacing w:after="0"/>
                    <w:jc w:val="right"/>
                    <w:rPr>
                      <w:rFonts w:ascii="Arial" w:hAnsi="Arial" w:cs="Arial"/>
                      <w:color w:val="000000"/>
                      <w:sz w:val="13"/>
                      <w:szCs w:val="13"/>
                    </w:rPr>
                  </w:pPr>
                  <w:r>
                    <w:rPr>
                      <w:rFonts w:ascii="Arial" w:hAnsi="Arial" w:cs="Arial"/>
                      <w:color w:val="000000"/>
                      <w:sz w:val="13"/>
                      <w:szCs w:val="13"/>
                    </w:rPr>
                    <w:t>-0.99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AAA9B2F" w14:textId="25B903BA" w:rsidR="003A62D6" w:rsidRDefault="00987BE3" w:rsidP="003A62D6">
                  <w:pPr>
                    <w:spacing w:after="0"/>
                    <w:jc w:val="right"/>
                    <w:rPr>
                      <w:rFonts w:ascii="Arial" w:hAnsi="Arial" w:cs="Arial"/>
                      <w:color w:val="000000"/>
                      <w:sz w:val="13"/>
                      <w:szCs w:val="13"/>
                    </w:rPr>
                  </w:pPr>
                  <w:r>
                    <w:rPr>
                      <w:rFonts w:ascii="Arial" w:hAnsi="Arial" w:cs="Arial"/>
                      <w:color w:val="000000"/>
                      <w:sz w:val="13"/>
                      <w:szCs w:val="13"/>
                    </w:rPr>
                    <w:t>-0.10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E10515D" w14:textId="14A7919A" w:rsidR="003A62D6" w:rsidRDefault="00727C4F" w:rsidP="003A62D6">
                  <w:pPr>
                    <w:spacing w:after="0"/>
                    <w:jc w:val="right"/>
                    <w:rPr>
                      <w:rFonts w:ascii="Arial" w:hAnsi="Arial" w:cs="Arial"/>
                      <w:color w:val="000000"/>
                      <w:sz w:val="13"/>
                      <w:szCs w:val="13"/>
                    </w:rPr>
                  </w:pPr>
                  <w:r>
                    <w:rPr>
                      <w:rFonts w:ascii="Arial" w:hAnsi="Arial" w:cs="Arial"/>
                      <w:color w:val="000000"/>
                      <w:sz w:val="13"/>
                      <w:szCs w:val="13"/>
                    </w:rPr>
                    <w:t>-0.68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430E16DB" w14:textId="04D2C3F4" w:rsidR="003A62D6" w:rsidRDefault="000C27FC" w:rsidP="003A62D6">
                  <w:pPr>
                    <w:spacing w:after="0"/>
                    <w:jc w:val="right"/>
                    <w:rPr>
                      <w:rFonts w:ascii="Arial" w:hAnsi="Arial" w:cs="Arial"/>
                      <w:color w:val="000000"/>
                      <w:sz w:val="13"/>
                      <w:szCs w:val="13"/>
                    </w:rPr>
                  </w:pPr>
                  <w:r>
                    <w:rPr>
                      <w:rFonts w:ascii="Arial" w:hAnsi="Arial" w:cs="Arial"/>
                      <w:color w:val="000000"/>
                      <w:sz w:val="13"/>
                      <w:szCs w:val="13"/>
                    </w:rPr>
                    <w:t>0.80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E8FA0A2" w14:textId="63EAA77F" w:rsidR="003A62D6" w:rsidRDefault="00F93D7A" w:rsidP="003A62D6">
                  <w:pPr>
                    <w:spacing w:after="0"/>
                    <w:jc w:val="right"/>
                    <w:rPr>
                      <w:rFonts w:ascii="Arial" w:hAnsi="Arial" w:cs="Arial"/>
                      <w:color w:val="000000"/>
                      <w:sz w:val="13"/>
                      <w:szCs w:val="13"/>
                    </w:rPr>
                  </w:pPr>
                  <w:r>
                    <w:rPr>
                      <w:rFonts w:ascii="Arial" w:hAnsi="Arial" w:cs="Arial"/>
                      <w:color w:val="000000"/>
                      <w:sz w:val="13"/>
                      <w:szCs w:val="13"/>
                    </w:rPr>
                    <w:t>5.05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7122EDC" w14:textId="32F189A5" w:rsidR="003A62D6" w:rsidRDefault="002C35BE" w:rsidP="003A62D6">
                  <w:pPr>
                    <w:spacing w:after="0"/>
                    <w:jc w:val="right"/>
                    <w:rPr>
                      <w:rFonts w:ascii="Arial" w:hAnsi="Arial" w:cs="Arial"/>
                      <w:color w:val="000000"/>
                      <w:sz w:val="13"/>
                      <w:szCs w:val="13"/>
                    </w:rPr>
                  </w:pPr>
                  <w:r>
                    <w:rPr>
                      <w:rFonts w:ascii="Arial" w:hAnsi="Arial" w:cs="Arial"/>
                      <w:color w:val="000000"/>
                      <w:sz w:val="13"/>
                      <w:szCs w:val="13"/>
                    </w:rPr>
                    <w:t>0.05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4F9C76C0" w14:textId="21C6588E" w:rsidR="003A62D6" w:rsidRDefault="002C35BE" w:rsidP="006643C5">
                  <w:pPr>
                    <w:spacing w:after="0"/>
                    <w:jc w:val="right"/>
                    <w:rPr>
                      <w:rFonts w:ascii="Arial" w:hAnsi="Arial" w:cs="Arial"/>
                      <w:color w:val="000000"/>
                      <w:sz w:val="13"/>
                      <w:szCs w:val="13"/>
                    </w:rPr>
                  </w:pPr>
                  <w:r>
                    <w:rPr>
                      <w:rFonts w:ascii="Arial" w:hAnsi="Arial" w:cs="Arial"/>
                      <w:color w:val="000000"/>
                      <w:sz w:val="13"/>
                      <w:szCs w:val="13"/>
                    </w:rPr>
                    <w:t>5.79</w:t>
                  </w:r>
                </w:p>
              </w:tc>
            </w:tr>
            <w:tr w:rsidR="00150045" w14:paraId="1AB289CF"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68AF9B7" w14:textId="4E5D8A6A" w:rsidR="00150045" w:rsidRDefault="00150045" w:rsidP="003A62D6">
                  <w:pPr>
                    <w:spacing w:after="0"/>
                    <w:jc w:val="center"/>
                    <w:rPr>
                      <w:rFonts w:ascii="Arial" w:hAnsi="Arial" w:cs="Arial"/>
                      <w:b/>
                      <w:bCs/>
                      <w:color w:val="000000"/>
                      <w:sz w:val="13"/>
                      <w:szCs w:val="13"/>
                    </w:rPr>
                  </w:pPr>
                  <w:r>
                    <w:rPr>
                      <w:rFonts w:ascii="Arial" w:hAnsi="Arial" w:cs="Arial"/>
                      <w:b/>
                      <w:bCs/>
                      <w:color w:val="000000"/>
                      <w:sz w:val="13"/>
                      <w:szCs w:val="13"/>
                    </w:rPr>
                    <w:t>2017</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C9AE20E" w14:textId="06626DEA" w:rsidR="00150045" w:rsidRDefault="002A56CC" w:rsidP="00B4506C">
                  <w:pPr>
                    <w:spacing w:after="0"/>
                    <w:jc w:val="right"/>
                    <w:rPr>
                      <w:rFonts w:ascii="Arial" w:hAnsi="Arial" w:cs="Arial"/>
                      <w:color w:val="000000"/>
                      <w:sz w:val="13"/>
                      <w:szCs w:val="13"/>
                    </w:rPr>
                  </w:pPr>
                  <w:r>
                    <w:rPr>
                      <w:rFonts w:ascii="Arial" w:hAnsi="Arial" w:cs="Arial"/>
                      <w:color w:val="000000"/>
                      <w:sz w:val="13"/>
                      <w:szCs w:val="13"/>
                    </w:rPr>
                    <w:t>-1.54</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CDF2799" w14:textId="478A0341" w:rsidR="00150045" w:rsidRDefault="004825EB" w:rsidP="00CF0C2B">
                  <w:pPr>
                    <w:spacing w:after="0"/>
                    <w:jc w:val="right"/>
                    <w:rPr>
                      <w:rFonts w:ascii="Arial" w:hAnsi="Arial" w:cs="Arial"/>
                      <w:color w:val="000000"/>
                      <w:sz w:val="13"/>
                      <w:szCs w:val="13"/>
                    </w:rPr>
                  </w:pPr>
                  <w:r>
                    <w:rPr>
                      <w:rFonts w:ascii="Arial" w:hAnsi="Arial" w:cs="Arial"/>
                      <w:color w:val="000000"/>
                      <w:sz w:val="13"/>
                      <w:szCs w:val="13"/>
                    </w:rPr>
                    <w:t>1.86</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7FF03CD" w14:textId="1166BF56" w:rsidR="00150045" w:rsidRDefault="00CA2956" w:rsidP="002E377D">
                  <w:pPr>
                    <w:spacing w:after="0"/>
                    <w:jc w:val="right"/>
                    <w:rPr>
                      <w:rFonts w:ascii="Arial" w:hAnsi="Arial" w:cs="Arial"/>
                      <w:color w:val="000000"/>
                      <w:sz w:val="13"/>
                      <w:szCs w:val="13"/>
                    </w:rPr>
                  </w:pPr>
                  <w:r>
                    <w:rPr>
                      <w:rFonts w:ascii="Arial" w:hAnsi="Arial" w:cs="Arial"/>
                      <w:color w:val="000000"/>
                      <w:sz w:val="13"/>
                      <w:szCs w:val="13"/>
                    </w:rPr>
                    <w:t>-2.95</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0D41CCE8" w14:textId="77777777" w:rsidR="00150045" w:rsidRDefault="00150045" w:rsidP="00AE4FE8">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05E964E" w14:textId="77777777" w:rsidR="00150045" w:rsidRDefault="00150045" w:rsidP="00C6768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7B906C1" w14:textId="77777777" w:rsidR="00150045" w:rsidRDefault="00150045" w:rsidP="006643C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044DA7A"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C7E5548"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59A98A1"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6DE1A80"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1AB7B4F"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AA68B98"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424636D6" w14:textId="26D17AEB" w:rsidR="00150045" w:rsidRDefault="00CA2956" w:rsidP="006643C5">
                  <w:pPr>
                    <w:spacing w:after="0"/>
                    <w:jc w:val="right"/>
                    <w:rPr>
                      <w:rFonts w:ascii="Arial" w:hAnsi="Arial" w:cs="Arial"/>
                      <w:color w:val="000000"/>
                      <w:sz w:val="13"/>
                      <w:szCs w:val="13"/>
                    </w:rPr>
                  </w:pPr>
                  <w:r>
                    <w:rPr>
                      <w:rFonts w:ascii="Arial" w:hAnsi="Arial" w:cs="Arial"/>
                      <w:color w:val="000000"/>
                      <w:sz w:val="13"/>
                      <w:szCs w:val="13"/>
                    </w:rPr>
                    <w:t>-2.67</w:t>
                  </w:r>
                </w:p>
              </w:tc>
            </w:tr>
          </w:tbl>
          <w:p w14:paraId="0FDE943E" w14:textId="77777777" w:rsidR="007A4D7C" w:rsidRDefault="007A4D7C" w:rsidP="007A4D7C">
            <w:pPr>
              <w:spacing w:after="120" w:line="288" w:lineRule="auto"/>
              <w:jc w:val="both"/>
              <w:rPr>
                <w:rFonts w:ascii="Arial" w:hAnsi="Arial" w:cs="Arial"/>
                <w:sz w:val="20"/>
                <w:szCs w:val="20"/>
              </w:rPr>
            </w:pPr>
          </w:p>
        </w:tc>
      </w:tr>
      <w:tr w:rsidR="007A4D7C" w14:paraId="0FDE9446" w14:textId="77777777" w:rsidTr="00FF2A1B">
        <w:trPr>
          <w:trHeight w:val="57"/>
        </w:trPr>
        <w:tc>
          <w:tcPr>
            <w:tcW w:w="1809" w:type="dxa"/>
            <w:vMerge/>
          </w:tcPr>
          <w:p w14:paraId="0FDE9440"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p w14:paraId="591E6A60" w14:textId="7FCEFD26" w:rsidR="002D26FD" w:rsidRDefault="007A4D7C" w:rsidP="002D26FD">
            <w:pPr>
              <w:spacing w:before="68" w:after="0" w:line="240" w:lineRule="auto"/>
              <w:jc w:val="both"/>
              <w:rPr>
                <w:rFonts w:ascii="Arial" w:hAnsi="Arial" w:cs="Arial"/>
                <w:color w:val="999999"/>
                <w:sz w:val="16"/>
                <w:szCs w:val="20"/>
              </w:rPr>
            </w:pPr>
            <w:r w:rsidRPr="007A4D7C">
              <w:rPr>
                <w:rFonts w:ascii="Arial" w:hAnsi="Arial" w:cs="Arial"/>
                <w:color w:val="999999"/>
                <w:sz w:val="16"/>
                <w:szCs w:val="20"/>
              </w:rPr>
              <w:t xml:space="preserve">Source: </w:t>
            </w:r>
            <w:r w:rsidR="00F0114B" w:rsidRPr="007A4D7C">
              <w:rPr>
                <w:rFonts w:ascii="Arial" w:hAnsi="Arial" w:cs="Arial"/>
                <w:color w:val="999999"/>
                <w:sz w:val="16"/>
                <w:szCs w:val="20"/>
              </w:rPr>
              <w:t>Fund NAV data is provided by the administrator of the Fund, International Fund Services (Ireland) Limited</w:t>
            </w:r>
            <w:r w:rsidR="0019064E">
              <w:rPr>
                <w:rFonts w:ascii="Arial" w:hAnsi="Arial" w:cs="Arial"/>
                <w:color w:val="999999"/>
                <w:sz w:val="16"/>
                <w:szCs w:val="20"/>
              </w:rPr>
              <w:t xml:space="preserve"> (“IFS”)</w:t>
            </w:r>
            <w:r w:rsidR="00F0114B" w:rsidRPr="007A4D7C">
              <w:rPr>
                <w:rFonts w:ascii="Arial" w:hAnsi="Arial" w:cs="Arial"/>
                <w:color w:val="999999"/>
                <w:sz w:val="16"/>
                <w:szCs w:val="20"/>
              </w:rPr>
              <w:t xml:space="preserve">. </w:t>
            </w:r>
            <w:r w:rsidRPr="007A4D7C">
              <w:rPr>
                <w:rFonts w:ascii="Arial" w:hAnsi="Arial" w:cs="Arial"/>
                <w:color w:val="999999"/>
                <w:sz w:val="16"/>
                <w:szCs w:val="20"/>
              </w:rPr>
              <w:t xml:space="preserve">BHM NAV and NAV per Share data is provided by BHM’s administrator, Northern Trust. BHM NAV per Share % Monthly Change is calculated by </w:t>
            </w:r>
            <w:r w:rsidRPr="001E7272">
              <w:rPr>
                <w:rFonts w:ascii="Arial" w:hAnsi="Arial" w:cs="Arial"/>
                <w:color w:val="999999"/>
                <w:sz w:val="16"/>
                <w:szCs w:val="20"/>
              </w:rPr>
              <w:t>BHCM. BHM NAV data is unaudited and net of all investment management fees (2% annual management fee and 20% performance fee) and all other fees and expenses payable by BHM. In addition, the Fund is subject to an operational services fee of 50bps per annum.</w:t>
            </w:r>
            <w:r w:rsidR="00160E15">
              <w:rPr>
                <w:rFonts w:ascii="Arial" w:hAnsi="Arial" w:cs="Arial"/>
                <w:color w:val="999999"/>
                <w:sz w:val="16"/>
                <w:szCs w:val="20"/>
              </w:rPr>
              <w:t xml:space="preserve"> </w:t>
            </w:r>
          </w:p>
          <w:p w14:paraId="2402B16E" w14:textId="25B90CC3" w:rsidR="00CA6752" w:rsidRDefault="00CA6752" w:rsidP="002D26FD">
            <w:pPr>
              <w:spacing w:before="68" w:after="0" w:line="240" w:lineRule="auto"/>
              <w:jc w:val="both"/>
              <w:rPr>
                <w:rFonts w:ascii="Arial" w:hAnsi="Arial" w:cs="Arial"/>
                <w:color w:val="999999"/>
                <w:sz w:val="16"/>
                <w:szCs w:val="20"/>
              </w:rPr>
            </w:pPr>
            <w:r>
              <w:rPr>
                <w:rFonts w:ascii="Arial" w:hAnsi="Arial" w:cs="Arial"/>
                <w:color w:val="999999"/>
                <w:sz w:val="16"/>
                <w:szCs w:val="20"/>
              </w:rPr>
              <w:t>BHCM shall waive its entitlement to a management fee in respect of any performance-related growth of BHM from 3 October 2016 onwards. In addition, BHM’s investment in the Fund will not bear an operational services fee in respect of any performance</w:t>
            </w:r>
            <w:r w:rsidR="00E43F89">
              <w:rPr>
                <w:rFonts w:ascii="Arial" w:hAnsi="Arial" w:cs="Arial"/>
                <w:color w:val="999999"/>
                <w:sz w:val="16"/>
                <w:szCs w:val="20"/>
              </w:rPr>
              <w:t>-</w:t>
            </w:r>
            <w:r>
              <w:rPr>
                <w:rFonts w:ascii="Arial" w:hAnsi="Arial" w:cs="Arial"/>
                <w:color w:val="999999"/>
                <w:sz w:val="16"/>
                <w:szCs w:val="20"/>
              </w:rPr>
              <w:t xml:space="preserve">related growth from 3 October 2016 onwards. </w:t>
            </w:r>
          </w:p>
          <w:p w14:paraId="0FDE9442" w14:textId="7EE3DA95" w:rsidR="007A4D7C" w:rsidRPr="007A4D7C" w:rsidRDefault="007A4D7C" w:rsidP="002D26FD">
            <w:pPr>
              <w:spacing w:before="68" w:after="0" w:line="240" w:lineRule="auto"/>
              <w:jc w:val="both"/>
              <w:rPr>
                <w:rFonts w:ascii="Arial" w:hAnsi="Arial" w:cs="Arial"/>
                <w:color w:val="999999"/>
                <w:sz w:val="16"/>
                <w:szCs w:val="20"/>
              </w:rPr>
            </w:pPr>
            <w:r w:rsidRPr="007A4D7C">
              <w:rPr>
                <w:rFonts w:ascii="Arial" w:hAnsi="Arial" w:cs="Arial"/>
                <w:color w:val="999999"/>
                <w:sz w:val="16"/>
                <w:szCs w:val="20"/>
              </w:rPr>
              <w:t>NAV performance is provided for information purposes only. Shares in BHM do not necessarily trade at a price equal to the prevailing NAV per Share.</w:t>
            </w:r>
          </w:p>
          <w:p w14:paraId="0FDE9443" w14:textId="0882105B" w:rsidR="007A4D7C" w:rsidRPr="007A4D7C" w:rsidRDefault="0008021C" w:rsidP="007A4D7C">
            <w:pPr>
              <w:spacing w:before="80" w:after="0" w:line="288" w:lineRule="auto"/>
              <w:jc w:val="both"/>
              <w:rPr>
                <w:rFonts w:ascii="Arial" w:hAnsi="Arial" w:cs="Arial"/>
                <w:color w:val="999999"/>
                <w:sz w:val="16"/>
                <w:szCs w:val="20"/>
              </w:rPr>
            </w:pPr>
            <w:r>
              <w:rPr>
                <w:rFonts w:ascii="Arial" w:hAnsi="Arial" w:cs="Arial"/>
                <w:color w:val="999999"/>
                <w:sz w:val="16"/>
                <w:szCs w:val="20"/>
              </w:rPr>
              <w:t>Data a</w:t>
            </w:r>
            <w:r w:rsidR="007A4D7C" w:rsidRPr="007A4D7C">
              <w:rPr>
                <w:rFonts w:ascii="Arial" w:hAnsi="Arial" w:cs="Arial"/>
                <w:color w:val="999999"/>
                <w:sz w:val="16"/>
                <w:szCs w:val="20"/>
              </w:rPr>
              <w:t xml:space="preserve">s </w:t>
            </w:r>
            <w:r w:rsidR="00D30A3C">
              <w:rPr>
                <w:rFonts w:ascii="Arial" w:hAnsi="Arial" w:cs="Arial"/>
                <w:color w:val="999999"/>
                <w:sz w:val="16"/>
                <w:szCs w:val="20"/>
              </w:rPr>
              <w:t>at</w:t>
            </w:r>
            <w:r w:rsidR="009341A1">
              <w:rPr>
                <w:rFonts w:ascii="Arial" w:hAnsi="Arial" w:cs="Arial"/>
                <w:color w:val="999999"/>
                <w:sz w:val="16"/>
                <w:szCs w:val="20"/>
              </w:rPr>
              <w:t xml:space="preserve"> </w:t>
            </w:r>
            <w:r w:rsidR="00BB19FD">
              <w:rPr>
                <w:rFonts w:ascii="Arial" w:hAnsi="Arial" w:cs="Arial"/>
                <w:color w:val="999999"/>
                <w:sz w:val="16"/>
                <w:szCs w:val="20"/>
              </w:rPr>
              <w:t>31 March</w:t>
            </w:r>
            <w:r w:rsidR="005834BC">
              <w:rPr>
                <w:rFonts w:ascii="Arial" w:hAnsi="Arial" w:cs="Arial"/>
                <w:color w:val="999999"/>
                <w:sz w:val="16"/>
                <w:szCs w:val="20"/>
              </w:rPr>
              <w:t xml:space="preserve"> </w:t>
            </w:r>
            <w:r w:rsidR="006E30D1">
              <w:rPr>
                <w:rFonts w:ascii="Arial" w:hAnsi="Arial" w:cs="Arial"/>
                <w:color w:val="999999"/>
                <w:sz w:val="16"/>
                <w:szCs w:val="20"/>
              </w:rPr>
              <w:t xml:space="preserve">2017 </w:t>
            </w:r>
          </w:p>
          <w:p w14:paraId="0FDE9444" w14:textId="10515DAE" w:rsidR="007A4D7C" w:rsidRPr="007A4D7C" w:rsidRDefault="007A4D7C" w:rsidP="007A4D7C">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PAST PERFORMANCE IS NOT INDICATIVE OF FUTURE RESULTS</w:t>
            </w:r>
            <w:r w:rsidR="00F71D58">
              <w:rPr>
                <w:rFonts w:ascii="Arial" w:hAnsi="Arial" w:cs="Arial"/>
                <w:color w:val="999999"/>
                <w:sz w:val="16"/>
                <w:szCs w:val="20"/>
              </w:rPr>
              <w:t>.</w:t>
            </w:r>
          </w:p>
          <w:p w14:paraId="0FDE9445" w14:textId="77777777" w:rsidR="007A4D7C" w:rsidRPr="007A4D7C" w:rsidRDefault="007A4D7C" w:rsidP="007A4D7C">
            <w:pPr>
              <w:spacing w:before="80" w:after="0" w:line="288" w:lineRule="auto"/>
              <w:jc w:val="both"/>
              <w:rPr>
                <w:rFonts w:ascii="Arial" w:hAnsi="Arial" w:cs="Arial"/>
                <w:color w:val="999999"/>
                <w:sz w:val="16"/>
                <w:szCs w:val="20"/>
              </w:rPr>
            </w:pPr>
          </w:p>
        </w:tc>
      </w:tr>
    </w:tbl>
    <w:p w14:paraId="77EBF88F" w14:textId="77777777" w:rsidR="00405572" w:rsidRDefault="00405572">
      <w:r>
        <w:br w:type="page"/>
      </w:r>
    </w:p>
    <w:tbl>
      <w:tblPr>
        <w:tblW w:w="10173" w:type="dxa"/>
        <w:tblInd w:w="-108" w:type="dxa"/>
        <w:tblLayout w:type="fixed"/>
        <w:tblCellMar>
          <w:top w:w="142" w:type="dxa"/>
          <w:left w:w="0" w:type="dxa"/>
        </w:tblCellMar>
        <w:tblLook w:val="0000" w:firstRow="0" w:lastRow="0" w:firstColumn="0" w:lastColumn="0" w:noHBand="0" w:noVBand="0"/>
      </w:tblPr>
      <w:tblGrid>
        <w:gridCol w:w="1809"/>
        <w:gridCol w:w="8364"/>
      </w:tblGrid>
      <w:tr w:rsidR="007A4D7C" w14:paraId="0FDE9449" w14:textId="77777777" w:rsidTr="00FF2A1B">
        <w:trPr>
          <w:trHeight w:val="216"/>
        </w:trPr>
        <w:tc>
          <w:tcPr>
            <w:tcW w:w="1809" w:type="dxa"/>
            <w:vMerge w:val="restart"/>
          </w:tcPr>
          <w:p w14:paraId="1138289E" w14:textId="2409380F" w:rsidR="007A4D7C" w:rsidRDefault="007A4D7C" w:rsidP="000B2452">
            <w:pPr>
              <w:spacing w:after="0" w:line="288" w:lineRule="auto"/>
              <w:rPr>
                <w:rFonts w:ascii="Arial" w:hAnsi="Arial" w:cs="Arial"/>
                <w:b/>
                <w:color w:val="BC5E1E"/>
                <w:sz w:val="20"/>
                <w:szCs w:val="20"/>
              </w:rPr>
            </w:pPr>
            <w:r w:rsidRPr="007A4D7C">
              <w:rPr>
                <w:rFonts w:ascii="Arial" w:hAnsi="Arial" w:cs="Arial"/>
                <w:b/>
                <w:color w:val="BC5E1E"/>
                <w:sz w:val="20"/>
                <w:szCs w:val="20"/>
              </w:rPr>
              <w:lastRenderedPageBreak/>
              <w:t>ASC 820 Asset Valuation Categorisation</w:t>
            </w:r>
            <w:r w:rsidR="00950DB0">
              <w:rPr>
                <w:rFonts w:ascii="Arial" w:hAnsi="Arial" w:cs="Arial"/>
                <w:b/>
                <w:color w:val="BC5E1E"/>
                <w:sz w:val="20"/>
                <w:szCs w:val="20"/>
              </w:rPr>
              <w:t xml:space="preserve"> on a non look-through basis</w:t>
            </w:r>
            <w:r w:rsidRPr="007A4D7C">
              <w:rPr>
                <w:rFonts w:ascii="Arial" w:hAnsi="Arial" w:cs="Arial"/>
                <w:b/>
                <w:color w:val="BC5E1E"/>
                <w:sz w:val="20"/>
                <w:szCs w:val="20"/>
              </w:rPr>
              <w:t>*</w:t>
            </w:r>
          </w:p>
          <w:p w14:paraId="327AFADC" w14:textId="77777777" w:rsidR="00F94C42" w:rsidRDefault="00F94C42" w:rsidP="000B2452">
            <w:pPr>
              <w:spacing w:after="0" w:line="288" w:lineRule="auto"/>
              <w:rPr>
                <w:rFonts w:ascii="Arial" w:hAnsi="Arial" w:cs="Arial"/>
                <w:b/>
                <w:color w:val="BC5E1E"/>
                <w:sz w:val="20"/>
                <w:szCs w:val="20"/>
              </w:rPr>
            </w:pPr>
          </w:p>
          <w:p w14:paraId="32F68C02" w14:textId="77777777" w:rsidR="00F94C42" w:rsidRDefault="00F94C42" w:rsidP="000B2452">
            <w:pPr>
              <w:spacing w:after="0" w:line="288" w:lineRule="auto"/>
              <w:rPr>
                <w:rFonts w:ascii="Arial" w:hAnsi="Arial" w:cs="Arial"/>
                <w:b/>
                <w:color w:val="BC5E1E"/>
                <w:sz w:val="20"/>
                <w:szCs w:val="20"/>
              </w:rPr>
            </w:pPr>
          </w:p>
          <w:p w14:paraId="37660A82" w14:textId="77777777" w:rsidR="00F94C42" w:rsidRDefault="00F94C42" w:rsidP="000B2452">
            <w:pPr>
              <w:spacing w:after="0" w:line="288" w:lineRule="auto"/>
              <w:rPr>
                <w:rFonts w:ascii="Arial" w:hAnsi="Arial" w:cs="Arial"/>
                <w:b/>
                <w:color w:val="BC5E1E"/>
                <w:sz w:val="20"/>
                <w:szCs w:val="20"/>
              </w:rPr>
            </w:pPr>
          </w:p>
          <w:p w14:paraId="60ADF8A3" w14:textId="77777777" w:rsidR="00F94C42" w:rsidRDefault="00F94C42" w:rsidP="000B2452">
            <w:pPr>
              <w:spacing w:after="0" w:line="288" w:lineRule="auto"/>
              <w:rPr>
                <w:rFonts w:ascii="Arial" w:hAnsi="Arial" w:cs="Arial"/>
                <w:b/>
                <w:color w:val="BC5E1E"/>
                <w:sz w:val="20"/>
                <w:szCs w:val="20"/>
              </w:rPr>
            </w:pPr>
          </w:p>
          <w:p w14:paraId="0D287623" w14:textId="77777777" w:rsidR="00F94C42" w:rsidRDefault="00F94C42" w:rsidP="000B2452">
            <w:pPr>
              <w:spacing w:after="0" w:line="288" w:lineRule="auto"/>
              <w:rPr>
                <w:rFonts w:ascii="Arial" w:hAnsi="Arial" w:cs="Arial"/>
                <w:b/>
                <w:color w:val="BC5E1E"/>
                <w:sz w:val="20"/>
                <w:szCs w:val="20"/>
              </w:rPr>
            </w:pPr>
          </w:p>
          <w:p w14:paraId="6448C5EC" w14:textId="77777777" w:rsidR="00F94C42" w:rsidRDefault="00F94C42" w:rsidP="000B2452">
            <w:pPr>
              <w:spacing w:after="0" w:line="288" w:lineRule="auto"/>
              <w:rPr>
                <w:rFonts w:ascii="Arial" w:hAnsi="Arial" w:cs="Arial"/>
                <w:b/>
                <w:color w:val="BC5E1E"/>
                <w:sz w:val="20"/>
                <w:szCs w:val="20"/>
              </w:rPr>
            </w:pPr>
          </w:p>
          <w:p w14:paraId="56DDEB30" w14:textId="77777777" w:rsidR="00F94C42" w:rsidRDefault="00F94C42" w:rsidP="000B2452">
            <w:pPr>
              <w:spacing w:after="0" w:line="288" w:lineRule="auto"/>
              <w:rPr>
                <w:rFonts w:ascii="Arial" w:hAnsi="Arial" w:cs="Arial"/>
                <w:b/>
                <w:color w:val="BC5E1E"/>
                <w:sz w:val="20"/>
                <w:szCs w:val="20"/>
              </w:rPr>
            </w:pPr>
          </w:p>
          <w:p w14:paraId="1A948554" w14:textId="77777777" w:rsidR="00F94C42" w:rsidRDefault="00F94C42" w:rsidP="000B2452">
            <w:pPr>
              <w:spacing w:after="0" w:line="288" w:lineRule="auto"/>
              <w:rPr>
                <w:rFonts w:ascii="Arial" w:hAnsi="Arial" w:cs="Arial"/>
                <w:b/>
                <w:color w:val="BC5E1E"/>
                <w:sz w:val="20"/>
                <w:szCs w:val="20"/>
              </w:rPr>
            </w:pPr>
          </w:p>
          <w:p w14:paraId="4ECBA8C7" w14:textId="77777777" w:rsidR="00F94C42" w:rsidRDefault="00F94C42" w:rsidP="000B2452">
            <w:pPr>
              <w:spacing w:after="0" w:line="288" w:lineRule="auto"/>
              <w:rPr>
                <w:rFonts w:ascii="Arial" w:hAnsi="Arial" w:cs="Arial"/>
                <w:b/>
                <w:color w:val="BC5E1E"/>
                <w:sz w:val="20"/>
                <w:szCs w:val="20"/>
              </w:rPr>
            </w:pPr>
          </w:p>
          <w:p w14:paraId="7786B3EC" w14:textId="77777777" w:rsidR="00BD156F" w:rsidRDefault="00BD156F" w:rsidP="000B2452">
            <w:pPr>
              <w:spacing w:after="0" w:line="288" w:lineRule="auto"/>
              <w:rPr>
                <w:rFonts w:ascii="Arial" w:hAnsi="Arial" w:cs="Arial"/>
                <w:b/>
                <w:color w:val="BC5E1E"/>
                <w:sz w:val="20"/>
                <w:szCs w:val="20"/>
              </w:rPr>
            </w:pPr>
          </w:p>
          <w:p w14:paraId="05B14C10" w14:textId="77777777" w:rsidR="00BD156F" w:rsidRDefault="00BD156F" w:rsidP="000B2452">
            <w:pPr>
              <w:spacing w:after="0" w:line="288" w:lineRule="auto"/>
              <w:rPr>
                <w:rFonts w:ascii="Arial" w:hAnsi="Arial" w:cs="Arial"/>
                <w:b/>
                <w:color w:val="BC5E1E"/>
                <w:sz w:val="20"/>
                <w:szCs w:val="20"/>
              </w:rPr>
            </w:pPr>
          </w:p>
          <w:p w14:paraId="7DBFC7DE" w14:textId="77777777" w:rsidR="00BD156F" w:rsidRDefault="00BD156F" w:rsidP="000B2452">
            <w:pPr>
              <w:spacing w:after="0" w:line="288" w:lineRule="auto"/>
              <w:rPr>
                <w:rFonts w:ascii="Arial" w:hAnsi="Arial" w:cs="Arial"/>
                <w:b/>
                <w:color w:val="BC5E1E"/>
                <w:sz w:val="20"/>
                <w:szCs w:val="20"/>
              </w:rPr>
            </w:pPr>
          </w:p>
          <w:p w14:paraId="4163897B" w14:textId="77777777" w:rsidR="00BD156F" w:rsidRDefault="00BD156F" w:rsidP="000B2452">
            <w:pPr>
              <w:spacing w:after="0" w:line="288" w:lineRule="auto"/>
              <w:rPr>
                <w:rFonts w:ascii="Arial" w:hAnsi="Arial" w:cs="Arial"/>
                <w:b/>
                <w:color w:val="BC5E1E"/>
                <w:sz w:val="20"/>
                <w:szCs w:val="20"/>
              </w:rPr>
            </w:pPr>
          </w:p>
          <w:p w14:paraId="3656FBE0" w14:textId="77777777" w:rsidR="00F94C42" w:rsidRDefault="00F94C42" w:rsidP="000B2452">
            <w:pPr>
              <w:spacing w:after="0" w:line="288" w:lineRule="auto"/>
              <w:rPr>
                <w:rFonts w:ascii="Arial" w:hAnsi="Arial" w:cs="Arial"/>
                <w:b/>
                <w:color w:val="BC5E1E"/>
                <w:sz w:val="20"/>
                <w:szCs w:val="20"/>
              </w:rPr>
            </w:pPr>
          </w:p>
          <w:p w14:paraId="310307F4" w14:textId="77777777" w:rsidR="00F94C42" w:rsidRDefault="00F94C42" w:rsidP="000B2452">
            <w:pPr>
              <w:spacing w:after="0" w:line="288" w:lineRule="auto"/>
              <w:rPr>
                <w:rFonts w:ascii="Arial" w:hAnsi="Arial" w:cs="Arial"/>
                <w:b/>
                <w:color w:val="BC5E1E"/>
                <w:sz w:val="20"/>
                <w:szCs w:val="20"/>
              </w:rPr>
            </w:pPr>
          </w:p>
          <w:p w14:paraId="5C54DEC6" w14:textId="77777777" w:rsidR="00A82FE3" w:rsidRDefault="00A82FE3" w:rsidP="000B2452">
            <w:pPr>
              <w:spacing w:after="0" w:line="288" w:lineRule="auto"/>
              <w:rPr>
                <w:rFonts w:ascii="Arial" w:hAnsi="Arial" w:cs="Arial"/>
                <w:b/>
                <w:color w:val="BC5E1E"/>
                <w:sz w:val="20"/>
                <w:szCs w:val="20"/>
              </w:rPr>
            </w:pPr>
          </w:p>
          <w:p w14:paraId="12C54934" w14:textId="3EC32D57" w:rsidR="00950DB0" w:rsidRDefault="00950DB0" w:rsidP="00950DB0">
            <w:pPr>
              <w:spacing w:after="0" w:line="288" w:lineRule="auto"/>
              <w:rPr>
                <w:rFonts w:ascii="Arial" w:hAnsi="Arial" w:cs="Arial"/>
                <w:b/>
                <w:color w:val="BC5E1E"/>
                <w:sz w:val="20"/>
                <w:szCs w:val="20"/>
              </w:rPr>
            </w:pPr>
            <w:r w:rsidRPr="007A4D7C">
              <w:rPr>
                <w:rFonts w:ascii="Arial" w:hAnsi="Arial" w:cs="Arial"/>
                <w:b/>
                <w:color w:val="BC5E1E"/>
                <w:sz w:val="20"/>
                <w:szCs w:val="20"/>
              </w:rPr>
              <w:t>ASC 820 Asset Valuation Categorisation</w:t>
            </w:r>
            <w:r>
              <w:rPr>
                <w:rFonts w:ascii="Arial" w:hAnsi="Arial" w:cs="Arial"/>
                <w:b/>
                <w:color w:val="BC5E1E"/>
                <w:sz w:val="20"/>
                <w:szCs w:val="20"/>
              </w:rPr>
              <w:t xml:space="preserve"> on a look-through basis</w:t>
            </w:r>
            <w:r w:rsidRPr="007A4D7C">
              <w:rPr>
                <w:rFonts w:ascii="Arial" w:hAnsi="Arial" w:cs="Arial"/>
                <w:b/>
                <w:color w:val="BC5E1E"/>
                <w:sz w:val="20"/>
                <w:szCs w:val="20"/>
              </w:rPr>
              <w:t>*</w:t>
            </w:r>
          </w:p>
          <w:p w14:paraId="0A12E01F" w14:textId="77777777" w:rsidR="0073017E" w:rsidRDefault="0073017E" w:rsidP="000B2452">
            <w:pPr>
              <w:spacing w:after="0" w:line="288" w:lineRule="auto"/>
              <w:rPr>
                <w:rFonts w:ascii="Arial" w:hAnsi="Arial" w:cs="Arial"/>
                <w:b/>
                <w:color w:val="BC5E1E"/>
                <w:sz w:val="20"/>
                <w:szCs w:val="20"/>
              </w:rPr>
            </w:pPr>
          </w:p>
          <w:p w14:paraId="112CAC4D" w14:textId="77777777" w:rsidR="0073017E" w:rsidRDefault="0073017E" w:rsidP="000B2452">
            <w:pPr>
              <w:spacing w:after="0" w:line="288" w:lineRule="auto"/>
              <w:rPr>
                <w:rFonts w:ascii="Arial" w:hAnsi="Arial" w:cs="Arial"/>
                <w:b/>
                <w:color w:val="BC5E1E"/>
                <w:sz w:val="20"/>
                <w:szCs w:val="20"/>
              </w:rPr>
            </w:pPr>
          </w:p>
          <w:p w14:paraId="4D2AFDEA" w14:textId="77777777" w:rsidR="00950DB0" w:rsidRDefault="00950DB0" w:rsidP="000B2452">
            <w:pPr>
              <w:spacing w:after="0" w:line="288" w:lineRule="auto"/>
              <w:rPr>
                <w:rFonts w:ascii="Arial" w:hAnsi="Arial" w:cs="Arial"/>
                <w:b/>
                <w:color w:val="BC5E1E"/>
                <w:sz w:val="20"/>
                <w:szCs w:val="20"/>
              </w:rPr>
            </w:pPr>
          </w:p>
          <w:p w14:paraId="055BC889" w14:textId="77777777" w:rsidR="00950DB0" w:rsidRDefault="00950DB0" w:rsidP="000B2452">
            <w:pPr>
              <w:spacing w:after="0" w:line="288" w:lineRule="auto"/>
              <w:rPr>
                <w:rFonts w:ascii="Arial" w:hAnsi="Arial" w:cs="Arial"/>
                <w:b/>
                <w:color w:val="BC5E1E"/>
                <w:sz w:val="20"/>
                <w:szCs w:val="20"/>
              </w:rPr>
            </w:pPr>
          </w:p>
          <w:p w14:paraId="2D28F109" w14:textId="77777777" w:rsidR="00950DB0" w:rsidRDefault="00950DB0" w:rsidP="000B2452">
            <w:pPr>
              <w:spacing w:after="0" w:line="288" w:lineRule="auto"/>
              <w:rPr>
                <w:rFonts w:ascii="Arial" w:hAnsi="Arial" w:cs="Arial"/>
                <w:b/>
                <w:color w:val="BC5E1E"/>
                <w:sz w:val="20"/>
                <w:szCs w:val="20"/>
              </w:rPr>
            </w:pPr>
          </w:p>
          <w:p w14:paraId="16B3A1C4" w14:textId="77777777" w:rsidR="00950DB0" w:rsidRDefault="00950DB0" w:rsidP="000B2452">
            <w:pPr>
              <w:spacing w:after="0" w:line="288" w:lineRule="auto"/>
              <w:rPr>
                <w:rFonts w:ascii="Arial" w:hAnsi="Arial" w:cs="Arial"/>
                <w:b/>
                <w:color w:val="BC5E1E"/>
                <w:sz w:val="20"/>
                <w:szCs w:val="20"/>
              </w:rPr>
            </w:pPr>
          </w:p>
          <w:p w14:paraId="0451983A" w14:textId="77777777" w:rsidR="00950DB0" w:rsidRDefault="00950DB0" w:rsidP="000B2452">
            <w:pPr>
              <w:spacing w:after="0" w:line="288" w:lineRule="auto"/>
              <w:rPr>
                <w:rFonts w:ascii="Arial" w:hAnsi="Arial" w:cs="Arial"/>
                <w:b/>
                <w:color w:val="BC5E1E"/>
                <w:sz w:val="20"/>
                <w:szCs w:val="20"/>
              </w:rPr>
            </w:pPr>
          </w:p>
          <w:p w14:paraId="49498924" w14:textId="77777777" w:rsidR="00950DB0" w:rsidRDefault="00950DB0" w:rsidP="000B2452">
            <w:pPr>
              <w:spacing w:after="0" w:line="288" w:lineRule="auto"/>
              <w:rPr>
                <w:rFonts w:ascii="Arial" w:hAnsi="Arial" w:cs="Arial"/>
                <w:b/>
                <w:color w:val="BC5E1E"/>
                <w:sz w:val="20"/>
                <w:szCs w:val="20"/>
              </w:rPr>
            </w:pPr>
          </w:p>
          <w:p w14:paraId="251EFA07" w14:textId="77777777" w:rsidR="00950DB0" w:rsidRDefault="00950DB0" w:rsidP="000B2452">
            <w:pPr>
              <w:spacing w:after="0" w:line="288" w:lineRule="auto"/>
              <w:rPr>
                <w:rFonts w:ascii="Arial" w:hAnsi="Arial" w:cs="Arial"/>
                <w:b/>
                <w:color w:val="BC5E1E"/>
                <w:sz w:val="20"/>
                <w:szCs w:val="20"/>
              </w:rPr>
            </w:pPr>
          </w:p>
          <w:p w14:paraId="306AB11D" w14:textId="77777777" w:rsidR="00950DB0" w:rsidRDefault="00950DB0" w:rsidP="000B2452">
            <w:pPr>
              <w:spacing w:after="0" w:line="288" w:lineRule="auto"/>
              <w:rPr>
                <w:rFonts w:ascii="Arial" w:hAnsi="Arial" w:cs="Arial"/>
                <w:b/>
                <w:color w:val="BC5E1E"/>
                <w:sz w:val="20"/>
                <w:szCs w:val="20"/>
              </w:rPr>
            </w:pPr>
          </w:p>
          <w:p w14:paraId="427F88C7" w14:textId="77777777" w:rsidR="00950DB0" w:rsidRDefault="00950DB0" w:rsidP="00A82FE3">
            <w:pPr>
              <w:spacing w:after="0" w:line="288" w:lineRule="auto"/>
              <w:rPr>
                <w:rFonts w:ascii="Arial" w:hAnsi="Arial" w:cs="Arial"/>
                <w:b/>
                <w:color w:val="BC5E1E"/>
                <w:sz w:val="20"/>
                <w:szCs w:val="20"/>
              </w:rPr>
            </w:pPr>
          </w:p>
          <w:p w14:paraId="31AEFFD4" w14:textId="77777777" w:rsidR="00950DB0" w:rsidRDefault="00950DB0" w:rsidP="00A82FE3">
            <w:pPr>
              <w:spacing w:after="0" w:line="288" w:lineRule="auto"/>
              <w:rPr>
                <w:rFonts w:ascii="Arial" w:hAnsi="Arial" w:cs="Arial"/>
                <w:b/>
                <w:color w:val="BC5E1E"/>
                <w:sz w:val="20"/>
                <w:szCs w:val="20"/>
              </w:rPr>
            </w:pPr>
          </w:p>
          <w:p w14:paraId="055220AB" w14:textId="77777777" w:rsidR="00FF73A9" w:rsidRDefault="00FF73A9" w:rsidP="00A82FE3">
            <w:pPr>
              <w:spacing w:after="0" w:line="288" w:lineRule="auto"/>
              <w:rPr>
                <w:rFonts w:ascii="Arial" w:hAnsi="Arial" w:cs="Arial"/>
                <w:b/>
                <w:color w:val="BC5E1E"/>
                <w:sz w:val="20"/>
                <w:szCs w:val="20"/>
              </w:rPr>
            </w:pPr>
          </w:p>
          <w:p w14:paraId="20034797" w14:textId="561D5308" w:rsidR="00A82FE3" w:rsidRDefault="005834BC" w:rsidP="00A82FE3">
            <w:pPr>
              <w:spacing w:after="0" w:line="288" w:lineRule="auto"/>
              <w:rPr>
                <w:rFonts w:ascii="Arial" w:hAnsi="Arial" w:cs="Arial"/>
                <w:b/>
                <w:color w:val="BC5E1E"/>
                <w:sz w:val="20"/>
                <w:szCs w:val="20"/>
              </w:rPr>
            </w:pPr>
            <w:r>
              <w:rPr>
                <w:rFonts w:ascii="Arial" w:hAnsi="Arial" w:cs="Arial"/>
                <w:b/>
                <w:color w:val="BC5E1E"/>
                <w:sz w:val="20"/>
                <w:szCs w:val="20"/>
              </w:rPr>
              <w:t>P</w:t>
            </w:r>
            <w:r w:rsidR="006E30D1">
              <w:rPr>
                <w:rFonts w:ascii="Arial" w:hAnsi="Arial" w:cs="Arial"/>
                <w:b/>
                <w:color w:val="BC5E1E"/>
                <w:sz w:val="20"/>
                <w:szCs w:val="20"/>
              </w:rPr>
              <w:t xml:space="preserve">erformance </w:t>
            </w:r>
            <w:r w:rsidR="00A82FE3">
              <w:rPr>
                <w:rFonts w:ascii="Arial" w:hAnsi="Arial" w:cs="Arial"/>
                <w:b/>
                <w:color w:val="BC5E1E"/>
                <w:sz w:val="20"/>
                <w:szCs w:val="20"/>
              </w:rPr>
              <w:t xml:space="preserve">Review </w:t>
            </w:r>
          </w:p>
          <w:p w14:paraId="3EF3488B" w14:textId="77777777" w:rsidR="00A82FE3" w:rsidRDefault="00A82FE3" w:rsidP="000B2452">
            <w:pPr>
              <w:spacing w:after="0" w:line="288" w:lineRule="auto"/>
              <w:rPr>
                <w:rFonts w:ascii="Arial" w:hAnsi="Arial" w:cs="Arial"/>
                <w:b/>
                <w:color w:val="BC5E1E"/>
                <w:sz w:val="20"/>
                <w:szCs w:val="20"/>
              </w:rPr>
            </w:pPr>
          </w:p>
          <w:p w14:paraId="0FDE9447" w14:textId="508776F8" w:rsidR="00A82FE3" w:rsidRPr="007A4D7C" w:rsidRDefault="00A82FE3" w:rsidP="000B2452">
            <w:pPr>
              <w:spacing w:after="0" w:line="288" w:lineRule="auto"/>
              <w:rPr>
                <w:rFonts w:ascii="Arial" w:hAnsi="Arial" w:cs="Arial"/>
                <w:b/>
                <w:color w:val="BC5E1E"/>
                <w:sz w:val="20"/>
                <w:szCs w:val="20"/>
              </w:rPr>
            </w:pPr>
          </w:p>
        </w:tc>
        <w:tc>
          <w:tcPr>
            <w:tcW w:w="8364" w:type="dxa"/>
          </w:tcPr>
          <w:p w14:paraId="0FDE9448" w14:textId="77777777" w:rsidR="007A4D7C" w:rsidRPr="007A4D7C" w:rsidRDefault="007A4D7C" w:rsidP="007A4D7C">
            <w:pPr>
              <w:spacing w:after="0" w:line="288" w:lineRule="auto"/>
              <w:jc w:val="both"/>
              <w:rPr>
                <w:rFonts w:ascii="Arial" w:hAnsi="Arial" w:cs="Arial"/>
                <w:b/>
                <w:color w:val="BC5E1E"/>
                <w:sz w:val="20"/>
                <w:szCs w:val="20"/>
              </w:rPr>
            </w:pPr>
            <w:r w:rsidRPr="00A7248E">
              <w:rPr>
                <w:rFonts w:ascii="Arial" w:hAnsi="Arial" w:cs="Arial"/>
                <w:b/>
                <w:color w:val="BC5E1E"/>
                <w:sz w:val="20"/>
                <w:szCs w:val="20"/>
              </w:rPr>
              <w:t>Brevan Howard Master Fund Limited</w:t>
            </w:r>
          </w:p>
        </w:tc>
      </w:tr>
      <w:tr w:rsidR="007A4D7C" w14:paraId="0FDE944C" w14:textId="77777777" w:rsidTr="00FF2A1B">
        <w:trPr>
          <w:trHeight w:val="213"/>
        </w:trPr>
        <w:tc>
          <w:tcPr>
            <w:tcW w:w="1809" w:type="dxa"/>
            <w:vMerge/>
          </w:tcPr>
          <w:p w14:paraId="0FDE944A"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tcPr>
          <w:p w14:paraId="0FDE944B" w14:textId="1D49CBAB" w:rsidR="007A4D7C" w:rsidRPr="007A4D7C" w:rsidRDefault="007A4D7C" w:rsidP="00950DB0">
            <w:pPr>
              <w:spacing w:after="0" w:line="288" w:lineRule="auto"/>
              <w:jc w:val="both"/>
              <w:rPr>
                <w:rFonts w:ascii="Arial" w:hAnsi="Arial" w:cs="Arial"/>
                <w:b/>
                <w:color w:val="BC5E1E"/>
                <w:sz w:val="16"/>
                <w:szCs w:val="20"/>
              </w:rPr>
            </w:pPr>
            <w:r w:rsidRPr="007A4D7C">
              <w:rPr>
                <w:rFonts w:ascii="Arial" w:hAnsi="Arial" w:cs="Arial"/>
                <w:b/>
                <w:color w:val="BC5E1E"/>
                <w:sz w:val="16"/>
                <w:szCs w:val="20"/>
              </w:rPr>
              <w:t xml:space="preserve">Unaudited as at </w:t>
            </w:r>
            <w:r w:rsidR="00BB19FD">
              <w:rPr>
                <w:rFonts w:ascii="Arial" w:hAnsi="Arial" w:cs="Arial"/>
                <w:b/>
                <w:color w:val="BC5E1E"/>
                <w:sz w:val="16"/>
                <w:szCs w:val="20"/>
              </w:rPr>
              <w:t xml:space="preserve">31 </w:t>
            </w:r>
            <w:r w:rsidR="00950DB0">
              <w:rPr>
                <w:rFonts w:ascii="Arial" w:hAnsi="Arial" w:cs="Arial"/>
                <w:b/>
                <w:color w:val="BC5E1E"/>
                <w:sz w:val="16"/>
                <w:szCs w:val="20"/>
              </w:rPr>
              <w:t xml:space="preserve">March </w:t>
            </w:r>
            <w:r w:rsidR="006E30D1">
              <w:rPr>
                <w:rFonts w:ascii="Arial" w:hAnsi="Arial" w:cs="Arial"/>
                <w:b/>
                <w:color w:val="BC5E1E"/>
                <w:sz w:val="16"/>
                <w:szCs w:val="20"/>
              </w:rPr>
              <w:t xml:space="preserve">2017 </w:t>
            </w:r>
          </w:p>
        </w:tc>
      </w:tr>
      <w:tr w:rsidR="007A4D7C" w14:paraId="0FDE945B" w14:textId="77777777" w:rsidTr="00FF2A1B">
        <w:trPr>
          <w:trHeight w:val="213"/>
        </w:trPr>
        <w:tc>
          <w:tcPr>
            <w:tcW w:w="1809" w:type="dxa"/>
            <w:vMerge/>
          </w:tcPr>
          <w:p w14:paraId="0FDE944D"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tcPr>
          <w:tbl>
            <w:tblPr>
              <w:tblW w:w="3340" w:type="dxa"/>
              <w:tblLayout w:type="fixed"/>
              <w:tblCellMar>
                <w:top w:w="57" w:type="dxa"/>
                <w:left w:w="28" w:type="dxa"/>
                <w:right w:w="85" w:type="dxa"/>
              </w:tblCellMar>
              <w:tblLook w:val="04A0" w:firstRow="1" w:lastRow="0" w:firstColumn="1" w:lastColumn="0" w:noHBand="0" w:noVBand="1"/>
            </w:tblPr>
            <w:tblGrid>
              <w:gridCol w:w="960"/>
              <w:gridCol w:w="2380"/>
            </w:tblGrid>
            <w:tr w:rsidR="007A4D7C" w14:paraId="0FDE9450" w14:textId="77777777" w:rsidTr="007A4D7C">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bottom"/>
                  <w:hideMark/>
                </w:tcPr>
                <w:p w14:paraId="0FDE944E" w14:textId="77777777" w:rsidR="007A4D7C" w:rsidRDefault="007A4D7C" w:rsidP="007A4D7C">
                  <w:pPr>
                    <w:spacing w:after="0"/>
                    <w:rPr>
                      <w:rFonts w:ascii="Arial" w:hAnsi="Arial" w:cs="Arial"/>
                      <w:color w:val="000000"/>
                      <w:sz w:val="13"/>
                      <w:szCs w:val="13"/>
                    </w:rPr>
                  </w:pPr>
                  <w:bookmarkStart w:id="6" w:name="RANGE!B2"/>
                  <w:bookmarkStart w:id="7" w:name="RANGE!B2:C5"/>
                  <w:bookmarkEnd w:id="6"/>
                  <w:r>
                    <w:rPr>
                      <w:rFonts w:ascii="Arial" w:hAnsi="Arial" w:cs="Arial"/>
                      <w:color w:val="000000"/>
                      <w:sz w:val="13"/>
                      <w:szCs w:val="13"/>
                    </w:rPr>
                    <w:t> </w:t>
                  </w:r>
                  <w:bookmarkEnd w:id="7"/>
                </w:p>
              </w:tc>
              <w:tc>
                <w:tcPr>
                  <w:tcW w:w="2380" w:type="dxa"/>
                  <w:tcBorders>
                    <w:top w:val="single" w:sz="4" w:space="0" w:color="auto"/>
                    <w:left w:val="nil"/>
                    <w:bottom w:val="single" w:sz="4" w:space="0" w:color="auto"/>
                    <w:right w:val="single" w:sz="4" w:space="0" w:color="auto"/>
                  </w:tcBorders>
                  <w:shd w:val="clear" w:color="000000" w:fill="EFEFEF"/>
                  <w:noWrap/>
                  <w:vAlign w:val="center"/>
                  <w:hideMark/>
                </w:tcPr>
                <w:p w14:paraId="0FDE944F"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 of Gross Market Value*</w:t>
                  </w:r>
                </w:p>
              </w:tc>
            </w:tr>
            <w:tr w:rsidR="007A4D7C" w14:paraId="0FDE9453" w14:textId="77777777" w:rsidTr="0045147E">
              <w:trPr>
                <w:trHeight w:val="225"/>
              </w:trPr>
              <w:tc>
                <w:tcPr>
                  <w:tcW w:w="960" w:type="dxa"/>
                  <w:tcBorders>
                    <w:top w:val="nil"/>
                    <w:left w:val="single" w:sz="4" w:space="0" w:color="auto"/>
                    <w:bottom w:val="single" w:sz="4" w:space="0" w:color="auto"/>
                    <w:right w:val="single" w:sz="4" w:space="0" w:color="auto"/>
                  </w:tcBorders>
                  <w:shd w:val="clear" w:color="000000" w:fill="EFEFEF"/>
                  <w:noWrap/>
                  <w:vAlign w:val="center"/>
                  <w:hideMark/>
                </w:tcPr>
                <w:p w14:paraId="0FDE945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Level 1</w:t>
                  </w:r>
                </w:p>
              </w:tc>
              <w:tc>
                <w:tcPr>
                  <w:tcW w:w="2380" w:type="dxa"/>
                  <w:tcBorders>
                    <w:top w:val="nil"/>
                    <w:left w:val="nil"/>
                    <w:bottom w:val="single" w:sz="4" w:space="0" w:color="auto"/>
                    <w:right w:val="single" w:sz="4" w:space="0" w:color="auto"/>
                  </w:tcBorders>
                  <w:shd w:val="clear" w:color="auto" w:fill="auto"/>
                  <w:noWrap/>
                  <w:vAlign w:val="center"/>
                </w:tcPr>
                <w:p w14:paraId="0FDE9452" w14:textId="13AE9531" w:rsidR="007A4D7C" w:rsidRPr="006E5F6D" w:rsidRDefault="00F70EF9" w:rsidP="00436531">
                  <w:pPr>
                    <w:spacing w:after="0"/>
                    <w:jc w:val="center"/>
                    <w:rPr>
                      <w:rFonts w:ascii="Arial" w:hAnsi="Arial" w:cs="Arial"/>
                      <w:color w:val="000000"/>
                      <w:sz w:val="13"/>
                      <w:szCs w:val="13"/>
                    </w:rPr>
                  </w:pPr>
                  <w:r>
                    <w:rPr>
                      <w:rFonts w:ascii="Arial" w:hAnsi="Arial" w:cs="Arial"/>
                      <w:color w:val="000000"/>
                      <w:sz w:val="13"/>
                      <w:szCs w:val="13"/>
                    </w:rPr>
                    <w:t>71.4</w:t>
                  </w:r>
                </w:p>
              </w:tc>
            </w:tr>
            <w:tr w:rsidR="007A4D7C" w14:paraId="0FDE9456" w14:textId="77777777" w:rsidTr="00BD156F">
              <w:trPr>
                <w:trHeight w:val="225"/>
              </w:trPr>
              <w:tc>
                <w:tcPr>
                  <w:tcW w:w="960" w:type="dxa"/>
                  <w:tcBorders>
                    <w:top w:val="nil"/>
                    <w:left w:val="single" w:sz="4" w:space="0" w:color="auto"/>
                    <w:bottom w:val="single" w:sz="4" w:space="0" w:color="auto"/>
                    <w:right w:val="single" w:sz="4" w:space="0" w:color="auto"/>
                  </w:tcBorders>
                  <w:shd w:val="clear" w:color="000000" w:fill="EFEFEF"/>
                  <w:noWrap/>
                  <w:vAlign w:val="center"/>
                  <w:hideMark/>
                </w:tcPr>
                <w:p w14:paraId="0FDE9454"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Level 2</w:t>
                  </w:r>
                </w:p>
              </w:tc>
              <w:tc>
                <w:tcPr>
                  <w:tcW w:w="2380" w:type="dxa"/>
                  <w:tcBorders>
                    <w:top w:val="nil"/>
                    <w:left w:val="nil"/>
                    <w:bottom w:val="single" w:sz="4" w:space="0" w:color="auto"/>
                    <w:right w:val="single" w:sz="4" w:space="0" w:color="auto"/>
                  </w:tcBorders>
                  <w:shd w:val="clear" w:color="auto" w:fill="auto"/>
                  <w:noWrap/>
                  <w:vAlign w:val="center"/>
                </w:tcPr>
                <w:p w14:paraId="0FDE9455" w14:textId="2B9E21B7" w:rsidR="007A4D7C" w:rsidRPr="006E5F6D" w:rsidRDefault="00F70EF9" w:rsidP="00436531">
                  <w:pPr>
                    <w:spacing w:after="0"/>
                    <w:jc w:val="center"/>
                    <w:rPr>
                      <w:rFonts w:ascii="Arial" w:hAnsi="Arial" w:cs="Arial"/>
                      <w:color w:val="000000"/>
                      <w:sz w:val="13"/>
                      <w:szCs w:val="13"/>
                    </w:rPr>
                  </w:pPr>
                  <w:r>
                    <w:rPr>
                      <w:rFonts w:ascii="Arial" w:hAnsi="Arial" w:cs="Arial"/>
                      <w:color w:val="000000"/>
                      <w:sz w:val="13"/>
                      <w:szCs w:val="13"/>
                    </w:rPr>
                    <w:t>17.1</w:t>
                  </w:r>
                </w:p>
              </w:tc>
            </w:tr>
            <w:tr w:rsidR="007A4D7C" w14:paraId="0FDE9459" w14:textId="77777777" w:rsidTr="00BD156F">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57"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Level 3</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0FDE9458" w14:textId="6C8023B3" w:rsidR="00436531" w:rsidRPr="006E5F6D" w:rsidRDefault="00F70EF9" w:rsidP="00436531">
                  <w:pPr>
                    <w:spacing w:after="0"/>
                    <w:jc w:val="center"/>
                    <w:rPr>
                      <w:rFonts w:ascii="Arial" w:hAnsi="Arial" w:cs="Arial"/>
                      <w:color w:val="000000"/>
                      <w:sz w:val="13"/>
                      <w:szCs w:val="13"/>
                    </w:rPr>
                  </w:pPr>
                  <w:r>
                    <w:rPr>
                      <w:rFonts w:ascii="Arial" w:hAnsi="Arial" w:cs="Arial"/>
                      <w:color w:val="000000"/>
                      <w:sz w:val="13"/>
                      <w:szCs w:val="13"/>
                    </w:rPr>
                    <w:t>0.1</w:t>
                  </w:r>
                </w:p>
              </w:tc>
            </w:tr>
            <w:tr w:rsidR="008022CF" w14:paraId="6B9DFBBA" w14:textId="77777777" w:rsidTr="00BD156F">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908928B" w14:textId="6FBE9BF3" w:rsidR="008022CF" w:rsidRDefault="008022CF" w:rsidP="007A4D7C">
                  <w:pPr>
                    <w:spacing w:after="0"/>
                    <w:jc w:val="center"/>
                    <w:rPr>
                      <w:rFonts w:ascii="Arial" w:hAnsi="Arial" w:cs="Arial"/>
                      <w:b/>
                      <w:bCs/>
                      <w:color w:val="000000"/>
                      <w:sz w:val="13"/>
                      <w:szCs w:val="13"/>
                    </w:rPr>
                  </w:pPr>
                  <w:r>
                    <w:rPr>
                      <w:rFonts w:ascii="Arial" w:hAnsi="Arial" w:cs="Arial"/>
                      <w:b/>
                      <w:bCs/>
                      <w:color w:val="000000"/>
                      <w:sz w:val="13"/>
                      <w:szCs w:val="13"/>
                    </w:rPr>
                    <w:t>At NAV</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48EA9D36" w14:textId="0AE6690A" w:rsidR="008022CF" w:rsidRPr="006E5F6D" w:rsidRDefault="00F70EF9" w:rsidP="00436531">
                  <w:pPr>
                    <w:spacing w:after="0"/>
                    <w:jc w:val="center"/>
                    <w:rPr>
                      <w:rFonts w:ascii="Arial" w:hAnsi="Arial" w:cs="Arial"/>
                      <w:color w:val="000000"/>
                      <w:sz w:val="13"/>
                      <w:szCs w:val="13"/>
                    </w:rPr>
                  </w:pPr>
                  <w:r>
                    <w:rPr>
                      <w:rFonts w:ascii="Arial" w:hAnsi="Arial" w:cs="Arial"/>
                      <w:color w:val="000000"/>
                      <w:sz w:val="13"/>
                      <w:szCs w:val="13"/>
                    </w:rPr>
                    <w:t>11.4</w:t>
                  </w:r>
                </w:p>
              </w:tc>
            </w:tr>
          </w:tbl>
          <w:p w14:paraId="114282A1" w14:textId="77777777" w:rsidR="00BD156F" w:rsidRPr="007A4D7C" w:rsidRDefault="00BD156F" w:rsidP="00BD156F">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Source: BHCM</w:t>
            </w:r>
          </w:p>
          <w:p w14:paraId="08E64783" w14:textId="77777777" w:rsidR="00FF73A9" w:rsidRPr="00CC0232" w:rsidRDefault="00BD156F" w:rsidP="00FF73A9">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 Th</w:t>
            </w:r>
            <w:r w:rsidR="00850912">
              <w:rPr>
                <w:rFonts w:ascii="Arial" w:hAnsi="Arial" w:cs="Arial"/>
                <w:color w:val="999999"/>
                <w:sz w:val="16"/>
                <w:szCs w:val="20"/>
              </w:rPr>
              <w:t xml:space="preserve">is data is </w:t>
            </w:r>
            <w:r w:rsidRPr="00850912">
              <w:rPr>
                <w:rFonts w:ascii="Arial" w:hAnsi="Arial" w:cs="Arial"/>
                <w:color w:val="999999"/>
                <w:sz w:val="16"/>
                <w:szCs w:val="20"/>
              </w:rPr>
              <w:t>unaudited and</w:t>
            </w:r>
            <w:r w:rsidRPr="007A4D7C">
              <w:rPr>
                <w:rFonts w:ascii="Arial" w:hAnsi="Arial" w:cs="Arial"/>
                <w:color w:val="999999"/>
                <w:sz w:val="16"/>
                <w:szCs w:val="20"/>
              </w:rPr>
              <w:t xml:space="preserve"> h</w:t>
            </w:r>
            <w:r w:rsidR="00850912">
              <w:rPr>
                <w:rFonts w:ascii="Arial" w:hAnsi="Arial" w:cs="Arial"/>
                <w:color w:val="999999"/>
                <w:sz w:val="16"/>
                <w:szCs w:val="20"/>
              </w:rPr>
              <w:t>as</w:t>
            </w:r>
            <w:r w:rsidRPr="007A4D7C">
              <w:rPr>
                <w:rFonts w:ascii="Arial" w:hAnsi="Arial" w:cs="Arial"/>
                <w:color w:val="999999"/>
                <w:sz w:val="16"/>
                <w:szCs w:val="20"/>
              </w:rPr>
              <w:t xml:space="preserve"> been calculated by BHCM using the same methodology as that used in the most recent audited financial statements of the Fund. </w:t>
            </w:r>
            <w:r w:rsidR="00FF73A9" w:rsidRPr="00CC0232">
              <w:rPr>
                <w:rFonts w:ascii="Arial" w:hAnsi="Arial" w:cs="Arial"/>
                <w:color w:val="999999"/>
                <w:sz w:val="16"/>
                <w:szCs w:val="20"/>
              </w:rPr>
              <w:t>The relative size of each category is subject to change. Sum may not total 100% due to rounding.</w:t>
            </w:r>
          </w:p>
          <w:p w14:paraId="12955FBC" w14:textId="77777777" w:rsidR="00BD156F" w:rsidRPr="007A4D7C" w:rsidRDefault="00BD156F" w:rsidP="00BD156F">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Level 1: This represents the level of assets in the portfolio which are priced using unadjusted quoted prices in active markets that are accessible at the measurement date for identical, unrestricted assets or liabilities.</w:t>
            </w:r>
          </w:p>
          <w:p w14:paraId="07867176" w14:textId="77777777" w:rsidR="00BD156F" w:rsidRPr="007A4D7C" w:rsidRDefault="00BD156F" w:rsidP="00BD156F">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Level 2: This represents the level of assets in the portfolio which are priced using either (i) quoted prices that are identical or similar in markets that are not active or (ii) model-derived valuations for which all significant inputs are observable, either directly or indirectly in active markets.</w:t>
            </w:r>
          </w:p>
          <w:p w14:paraId="4BBB7E41" w14:textId="77777777" w:rsidR="00BD156F" w:rsidRDefault="00BD156F" w:rsidP="00BD156F">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Level 3: This represents the level of assets in the portfolio which are priced or valued using inputs that are both significant to the fair value measurement and are not observable directly or indirectly in an active market.</w:t>
            </w:r>
          </w:p>
          <w:p w14:paraId="72E75AE7" w14:textId="122C2476" w:rsidR="00BD156F" w:rsidRPr="00BD156F" w:rsidRDefault="00BD156F" w:rsidP="00BD156F">
            <w:pPr>
              <w:spacing w:before="80" w:after="0" w:line="288" w:lineRule="auto"/>
              <w:jc w:val="both"/>
              <w:rPr>
                <w:rFonts w:ascii="Arial" w:hAnsi="Arial" w:cs="Arial"/>
                <w:color w:val="999999"/>
                <w:sz w:val="16"/>
                <w:szCs w:val="20"/>
              </w:rPr>
            </w:pPr>
            <w:r>
              <w:rPr>
                <w:rFonts w:ascii="Arial" w:hAnsi="Arial" w:cs="Arial"/>
                <w:color w:val="999999"/>
                <w:sz w:val="16"/>
                <w:szCs w:val="20"/>
              </w:rPr>
              <w:t>At NAV</w:t>
            </w:r>
            <w:r w:rsidRPr="00BD156F">
              <w:rPr>
                <w:rFonts w:ascii="Arial" w:hAnsi="Arial" w:cs="Arial"/>
                <w:color w:val="999999"/>
                <w:sz w:val="16"/>
                <w:szCs w:val="20"/>
              </w:rPr>
              <w:t xml:space="preserve">: This represents the level of assets in the </w:t>
            </w:r>
            <w:r w:rsidR="00CD7CB1">
              <w:rPr>
                <w:rFonts w:ascii="Arial" w:hAnsi="Arial" w:cs="Arial"/>
                <w:color w:val="999999"/>
                <w:sz w:val="16"/>
                <w:szCs w:val="20"/>
              </w:rPr>
              <w:t xml:space="preserve">portfolio that are invested in </w:t>
            </w:r>
            <w:r w:rsidRPr="00BD156F">
              <w:rPr>
                <w:rFonts w:ascii="Arial" w:hAnsi="Arial" w:cs="Arial"/>
                <w:color w:val="999999"/>
                <w:sz w:val="16"/>
                <w:szCs w:val="20"/>
              </w:rPr>
              <w:t>other B</w:t>
            </w:r>
            <w:r>
              <w:rPr>
                <w:rFonts w:ascii="Arial" w:hAnsi="Arial" w:cs="Arial"/>
                <w:color w:val="999999"/>
                <w:sz w:val="16"/>
                <w:szCs w:val="20"/>
              </w:rPr>
              <w:t>revan Howard funds</w:t>
            </w:r>
            <w:r w:rsidR="00950DB0">
              <w:rPr>
                <w:rFonts w:ascii="Arial" w:hAnsi="Arial" w:cs="Arial"/>
                <w:color w:val="999999"/>
                <w:sz w:val="16"/>
                <w:szCs w:val="20"/>
              </w:rPr>
              <w:t xml:space="preserve"> and priced or valued at NAV</w:t>
            </w:r>
            <w:r w:rsidRPr="00BD156F">
              <w:rPr>
                <w:rFonts w:ascii="Arial" w:hAnsi="Arial" w:cs="Arial"/>
                <w:color w:val="999999"/>
                <w:sz w:val="16"/>
                <w:szCs w:val="20"/>
              </w:rPr>
              <w:t>.</w:t>
            </w:r>
          </w:p>
          <w:p w14:paraId="168AC65E" w14:textId="77777777" w:rsidR="007A4D7C" w:rsidRDefault="007A4D7C" w:rsidP="007A4D7C">
            <w:pPr>
              <w:spacing w:after="120" w:line="288" w:lineRule="auto"/>
              <w:jc w:val="both"/>
              <w:rPr>
                <w:rFonts w:ascii="Arial" w:hAnsi="Arial" w:cs="Arial"/>
                <w:sz w:val="20"/>
                <w:szCs w:val="20"/>
              </w:rPr>
            </w:pPr>
          </w:p>
          <w:tbl>
            <w:tblPr>
              <w:tblW w:w="3340" w:type="dxa"/>
              <w:tblLayout w:type="fixed"/>
              <w:tblCellMar>
                <w:top w:w="57" w:type="dxa"/>
                <w:left w:w="28" w:type="dxa"/>
                <w:right w:w="85" w:type="dxa"/>
              </w:tblCellMar>
              <w:tblLook w:val="04A0" w:firstRow="1" w:lastRow="0" w:firstColumn="1" w:lastColumn="0" w:noHBand="0" w:noVBand="1"/>
            </w:tblPr>
            <w:tblGrid>
              <w:gridCol w:w="960"/>
              <w:gridCol w:w="2380"/>
            </w:tblGrid>
            <w:tr w:rsidR="00950DB0" w14:paraId="4D5DFE07" w14:textId="77777777" w:rsidTr="002B308A">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bottom"/>
                  <w:hideMark/>
                </w:tcPr>
                <w:p w14:paraId="03E6DA3C" w14:textId="77777777" w:rsidR="00950DB0" w:rsidRDefault="00950DB0" w:rsidP="002B308A">
                  <w:pPr>
                    <w:spacing w:after="0"/>
                    <w:rPr>
                      <w:rFonts w:ascii="Arial" w:hAnsi="Arial" w:cs="Arial"/>
                      <w:color w:val="000000"/>
                      <w:sz w:val="13"/>
                      <w:szCs w:val="13"/>
                    </w:rPr>
                  </w:pPr>
                  <w:r>
                    <w:rPr>
                      <w:rFonts w:ascii="Arial" w:hAnsi="Arial" w:cs="Arial"/>
                      <w:color w:val="000000"/>
                      <w:sz w:val="13"/>
                      <w:szCs w:val="13"/>
                    </w:rPr>
                    <w:t> </w:t>
                  </w:r>
                </w:p>
              </w:tc>
              <w:tc>
                <w:tcPr>
                  <w:tcW w:w="2380" w:type="dxa"/>
                  <w:tcBorders>
                    <w:top w:val="single" w:sz="4" w:space="0" w:color="auto"/>
                    <w:left w:val="nil"/>
                    <w:bottom w:val="single" w:sz="4" w:space="0" w:color="auto"/>
                    <w:right w:val="single" w:sz="4" w:space="0" w:color="auto"/>
                  </w:tcBorders>
                  <w:shd w:val="clear" w:color="000000" w:fill="EFEFEF"/>
                  <w:noWrap/>
                  <w:vAlign w:val="center"/>
                  <w:hideMark/>
                </w:tcPr>
                <w:p w14:paraId="4A4ED569" w14:textId="77777777" w:rsidR="00950DB0" w:rsidRDefault="00950DB0" w:rsidP="002B308A">
                  <w:pPr>
                    <w:spacing w:after="0"/>
                    <w:jc w:val="center"/>
                    <w:rPr>
                      <w:rFonts w:ascii="Arial" w:hAnsi="Arial" w:cs="Arial"/>
                      <w:b/>
                      <w:bCs/>
                      <w:color w:val="000000"/>
                      <w:sz w:val="13"/>
                      <w:szCs w:val="13"/>
                    </w:rPr>
                  </w:pPr>
                  <w:r>
                    <w:rPr>
                      <w:rFonts w:ascii="Arial" w:hAnsi="Arial" w:cs="Arial"/>
                      <w:b/>
                      <w:bCs/>
                      <w:color w:val="000000"/>
                      <w:sz w:val="13"/>
                      <w:szCs w:val="13"/>
                    </w:rPr>
                    <w:t>% of Gross Market Value*</w:t>
                  </w:r>
                </w:p>
              </w:tc>
            </w:tr>
            <w:tr w:rsidR="00950DB0" w14:paraId="59B16195" w14:textId="77777777" w:rsidTr="002B308A">
              <w:trPr>
                <w:trHeight w:val="225"/>
              </w:trPr>
              <w:tc>
                <w:tcPr>
                  <w:tcW w:w="960" w:type="dxa"/>
                  <w:tcBorders>
                    <w:top w:val="nil"/>
                    <w:left w:val="single" w:sz="4" w:space="0" w:color="auto"/>
                    <w:bottom w:val="single" w:sz="4" w:space="0" w:color="auto"/>
                    <w:right w:val="single" w:sz="4" w:space="0" w:color="auto"/>
                  </w:tcBorders>
                  <w:shd w:val="clear" w:color="000000" w:fill="EFEFEF"/>
                  <w:noWrap/>
                  <w:vAlign w:val="center"/>
                  <w:hideMark/>
                </w:tcPr>
                <w:p w14:paraId="29E72710" w14:textId="77777777" w:rsidR="00950DB0" w:rsidRDefault="00950DB0" w:rsidP="002B308A">
                  <w:pPr>
                    <w:spacing w:after="0"/>
                    <w:jc w:val="center"/>
                    <w:rPr>
                      <w:rFonts w:ascii="Arial" w:hAnsi="Arial" w:cs="Arial"/>
                      <w:b/>
                      <w:bCs/>
                      <w:color w:val="000000"/>
                      <w:sz w:val="13"/>
                      <w:szCs w:val="13"/>
                    </w:rPr>
                  </w:pPr>
                  <w:r>
                    <w:rPr>
                      <w:rFonts w:ascii="Arial" w:hAnsi="Arial" w:cs="Arial"/>
                      <w:b/>
                      <w:bCs/>
                      <w:color w:val="000000"/>
                      <w:sz w:val="13"/>
                      <w:szCs w:val="13"/>
                    </w:rPr>
                    <w:t>Level 1</w:t>
                  </w:r>
                </w:p>
              </w:tc>
              <w:tc>
                <w:tcPr>
                  <w:tcW w:w="2380" w:type="dxa"/>
                  <w:tcBorders>
                    <w:top w:val="nil"/>
                    <w:left w:val="nil"/>
                    <w:bottom w:val="single" w:sz="4" w:space="0" w:color="auto"/>
                    <w:right w:val="single" w:sz="4" w:space="0" w:color="auto"/>
                  </w:tcBorders>
                  <w:shd w:val="clear" w:color="auto" w:fill="auto"/>
                  <w:noWrap/>
                  <w:vAlign w:val="center"/>
                </w:tcPr>
                <w:p w14:paraId="23D26675" w14:textId="4135D983" w:rsidR="00950DB0" w:rsidRPr="006E5F6D" w:rsidRDefault="00950DB0" w:rsidP="002B308A">
                  <w:pPr>
                    <w:spacing w:after="0"/>
                    <w:jc w:val="center"/>
                    <w:rPr>
                      <w:rFonts w:ascii="Arial" w:hAnsi="Arial" w:cs="Arial"/>
                      <w:color w:val="000000"/>
                      <w:sz w:val="13"/>
                      <w:szCs w:val="13"/>
                    </w:rPr>
                  </w:pPr>
                  <w:r>
                    <w:rPr>
                      <w:rFonts w:ascii="Arial" w:hAnsi="Arial" w:cs="Arial"/>
                      <w:color w:val="000000"/>
                      <w:sz w:val="13"/>
                      <w:szCs w:val="13"/>
                    </w:rPr>
                    <w:t>82.6</w:t>
                  </w:r>
                </w:p>
              </w:tc>
            </w:tr>
            <w:tr w:rsidR="00950DB0" w14:paraId="6537755F" w14:textId="77777777" w:rsidTr="002B308A">
              <w:trPr>
                <w:trHeight w:val="225"/>
              </w:trPr>
              <w:tc>
                <w:tcPr>
                  <w:tcW w:w="960" w:type="dxa"/>
                  <w:tcBorders>
                    <w:top w:val="nil"/>
                    <w:left w:val="single" w:sz="4" w:space="0" w:color="auto"/>
                    <w:bottom w:val="single" w:sz="4" w:space="0" w:color="auto"/>
                    <w:right w:val="single" w:sz="4" w:space="0" w:color="auto"/>
                  </w:tcBorders>
                  <w:shd w:val="clear" w:color="000000" w:fill="EFEFEF"/>
                  <w:noWrap/>
                  <w:vAlign w:val="center"/>
                  <w:hideMark/>
                </w:tcPr>
                <w:p w14:paraId="04F96B1F" w14:textId="77777777" w:rsidR="00950DB0" w:rsidRDefault="00950DB0" w:rsidP="002B308A">
                  <w:pPr>
                    <w:spacing w:after="0"/>
                    <w:jc w:val="center"/>
                    <w:rPr>
                      <w:rFonts w:ascii="Arial" w:hAnsi="Arial" w:cs="Arial"/>
                      <w:b/>
                      <w:bCs/>
                      <w:color w:val="000000"/>
                      <w:sz w:val="13"/>
                      <w:szCs w:val="13"/>
                    </w:rPr>
                  </w:pPr>
                  <w:r>
                    <w:rPr>
                      <w:rFonts w:ascii="Arial" w:hAnsi="Arial" w:cs="Arial"/>
                      <w:b/>
                      <w:bCs/>
                      <w:color w:val="000000"/>
                      <w:sz w:val="13"/>
                      <w:szCs w:val="13"/>
                    </w:rPr>
                    <w:t>Level 2</w:t>
                  </w:r>
                </w:p>
              </w:tc>
              <w:tc>
                <w:tcPr>
                  <w:tcW w:w="2380" w:type="dxa"/>
                  <w:tcBorders>
                    <w:top w:val="nil"/>
                    <w:left w:val="nil"/>
                    <w:bottom w:val="single" w:sz="4" w:space="0" w:color="auto"/>
                    <w:right w:val="single" w:sz="4" w:space="0" w:color="auto"/>
                  </w:tcBorders>
                  <w:shd w:val="clear" w:color="auto" w:fill="auto"/>
                  <w:noWrap/>
                  <w:vAlign w:val="center"/>
                </w:tcPr>
                <w:p w14:paraId="6F8F3D81" w14:textId="49E64963" w:rsidR="00950DB0" w:rsidRPr="006E5F6D" w:rsidRDefault="00950DB0" w:rsidP="002B308A">
                  <w:pPr>
                    <w:spacing w:after="0"/>
                    <w:jc w:val="center"/>
                    <w:rPr>
                      <w:rFonts w:ascii="Arial" w:hAnsi="Arial" w:cs="Arial"/>
                      <w:color w:val="000000"/>
                      <w:sz w:val="13"/>
                      <w:szCs w:val="13"/>
                    </w:rPr>
                  </w:pPr>
                  <w:r>
                    <w:rPr>
                      <w:rFonts w:ascii="Arial" w:hAnsi="Arial" w:cs="Arial"/>
                      <w:color w:val="000000"/>
                      <w:sz w:val="13"/>
                      <w:szCs w:val="13"/>
                    </w:rPr>
                    <w:t>17.2</w:t>
                  </w:r>
                </w:p>
              </w:tc>
            </w:tr>
            <w:tr w:rsidR="00950DB0" w14:paraId="4E750C4D" w14:textId="77777777" w:rsidTr="002B308A">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1B9EB2ED" w14:textId="77777777" w:rsidR="00950DB0" w:rsidRDefault="00950DB0" w:rsidP="002B308A">
                  <w:pPr>
                    <w:spacing w:after="0"/>
                    <w:jc w:val="center"/>
                    <w:rPr>
                      <w:rFonts w:ascii="Arial" w:hAnsi="Arial" w:cs="Arial"/>
                      <w:b/>
                      <w:bCs/>
                      <w:color w:val="000000"/>
                      <w:sz w:val="13"/>
                      <w:szCs w:val="13"/>
                    </w:rPr>
                  </w:pPr>
                  <w:r>
                    <w:rPr>
                      <w:rFonts w:ascii="Arial" w:hAnsi="Arial" w:cs="Arial"/>
                      <w:b/>
                      <w:bCs/>
                      <w:color w:val="000000"/>
                      <w:sz w:val="13"/>
                      <w:szCs w:val="13"/>
                    </w:rPr>
                    <w:t>Level 3</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3242F9C7" w14:textId="229A29CB" w:rsidR="00950DB0" w:rsidRPr="006E5F6D" w:rsidRDefault="00950DB0" w:rsidP="002B308A">
                  <w:pPr>
                    <w:spacing w:after="0"/>
                    <w:jc w:val="center"/>
                    <w:rPr>
                      <w:rFonts w:ascii="Arial" w:hAnsi="Arial" w:cs="Arial"/>
                      <w:color w:val="000000"/>
                      <w:sz w:val="13"/>
                      <w:szCs w:val="13"/>
                    </w:rPr>
                  </w:pPr>
                  <w:r>
                    <w:rPr>
                      <w:rFonts w:ascii="Arial" w:hAnsi="Arial" w:cs="Arial"/>
                      <w:color w:val="000000"/>
                      <w:sz w:val="13"/>
                      <w:szCs w:val="13"/>
                    </w:rPr>
                    <w:t>0.2</w:t>
                  </w:r>
                </w:p>
              </w:tc>
            </w:tr>
          </w:tbl>
          <w:p w14:paraId="00E208C0" w14:textId="77777777" w:rsidR="00950DB0" w:rsidRPr="007A4D7C" w:rsidRDefault="00950DB0" w:rsidP="00950DB0">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Source: BHCM</w:t>
            </w:r>
          </w:p>
          <w:p w14:paraId="255DAA4C" w14:textId="0CDBC5C8" w:rsidR="00CC0232" w:rsidRPr="00CC0232" w:rsidRDefault="00CC0232" w:rsidP="00F36746">
            <w:pPr>
              <w:spacing w:before="80" w:after="0" w:line="288" w:lineRule="auto"/>
              <w:jc w:val="both"/>
              <w:rPr>
                <w:rFonts w:ascii="Arial" w:hAnsi="Arial" w:cs="Arial"/>
                <w:color w:val="999999"/>
                <w:sz w:val="16"/>
                <w:szCs w:val="20"/>
              </w:rPr>
            </w:pPr>
            <w:r>
              <w:rPr>
                <w:rFonts w:ascii="Arial" w:hAnsi="Arial" w:cs="Arial"/>
                <w:color w:val="999999"/>
                <w:sz w:val="16"/>
                <w:szCs w:val="20"/>
              </w:rPr>
              <w:t>*</w:t>
            </w:r>
            <w:r w:rsidR="00FF73A9" w:rsidRPr="00FF73A9">
              <w:rPr>
                <w:rFonts w:ascii="Arial" w:hAnsi="Arial" w:cs="Arial"/>
                <w:color w:val="999999"/>
                <w:sz w:val="16"/>
                <w:szCs w:val="20"/>
              </w:rPr>
              <w:t xml:space="preserve"> This data reflects the combined ASC 820 levels of the Fund and the underlying allocations in which the Fund is invested, proportional to each of the underlying allocation’s weighting in the Fund’s portfolio. The data is unaudited and has been calculated by BHCM using the same methodology as that used in the most recent audited financial statements of the Fund and any underlying funds (as the case may be). The relative size of each category is subject to change. Sum may not total 100% due to rounding.</w:t>
            </w:r>
          </w:p>
          <w:p w14:paraId="5512D891" w14:textId="155AEEBE" w:rsidR="00F36746" w:rsidRPr="00F36746" w:rsidRDefault="00F36746" w:rsidP="00F36746">
            <w:pPr>
              <w:spacing w:before="80" w:after="0" w:line="288" w:lineRule="auto"/>
              <w:jc w:val="both"/>
              <w:rPr>
                <w:rFonts w:ascii="Arial" w:hAnsi="Arial" w:cs="Arial"/>
                <w:color w:val="999999"/>
                <w:sz w:val="16"/>
                <w:szCs w:val="20"/>
              </w:rPr>
            </w:pPr>
            <w:r w:rsidRPr="00F36746">
              <w:rPr>
                <w:rFonts w:ascii="Arial" w:hAnsi="Arial" w:cs="Arial"/>
                <w:color w:val="999999"/>
                <w:sz w:val="16"/>
                <w:szCs w:val="20"/>
              </w:rPr>
              <w:t>Level 1: This represents the level of assets in the portfolio which are priced using unadjusted quoted prices in active markets that are accessible at the measurement date for identical, unrestricted assets or liabilities.</w:t>
            </w:r>
          </w:p>
          <w:p w14:paraId="4F0B1AE7" w14:textId="77777777" w:rsidR="00F36746" w:rsidRPr="00F36746" w:rsidRDefault="00F36746" w:rsidP="00F36746">
            <w:pPr>
              <w:spacing w:before="80" w:after="0" w:line="288" w:lineRule="auto"/>
              <w:jc w:val="both"/>
              <w:rPr>
                <w:rFonts w:ascii="Arial" w:hAnsi="Arial" w:cs="Arial"/>
                <w:color w:val="999999"/>
                <w:sz w:val="16"/>
                <w:szCs w:val="20"/>
              </w:rPr>
            </w:pPr>
            <w:r w:rsidRPr="00F36746">
              <w:rPr>
                <w:rFonts w:ascii="Arial" w:hAnsi="Arial" w:cs="Arial"/>
                <w:color w:val="999999"/>
                <w:sz w:val="16"/>
                <w:szCs w:val="20"/>
              </w:rPr>
              <w:t>Level 2: This represents the level of assets in the portfolio which are priced using either (i) quoted prices that are identical or similar in markets that are not active or (ii) model-derived valuations for which all significant inputs are observable, either directly or indirectly in active markets.</w:t>
            </w:r>
          </w:p>
          <w:p w14:paraId="5434B667" w14:textId="31D943B4" w:rsidR="00950DB0" w:rsidRPr="00F36746" w:rsidRDefault="00F36746" w:rsidP="00F36746">
            <w:pPr>
              <w:spacing w:before="80" w:after="0" w:line="288" w:lineRule="auto"/>
              <w:jc w:val="both"/>
              <w:rPr>
                <w:rFonts w:ascii="Arial" w:hAnsi="Arial" w:cs="Arial"/>
                <w:color w:val="999999"/>
                <w:sz w:val="16"/>
                <w:szCs w:val="20"/>
              </w:rPr>
            </w:pPr>
            <w:r w:rsidRPr="00F36746">
              <w:rPr>
                <w:rFonts w:ascii="Arial" w:hAnsi="Arial" w:cs="Arial"/>
                <w:color w:val="999999"/>
                <w:sz w:val="16"/>
                <w:szCs w:val="20"/>
              </w:rPr>
              <w:t>Level 3: This represents the level of assets in the portfolio which are priced or valued using inputs that are both significant to the fair value measurement and are not observable directly o</w:t>
            </w:r>
            <w:r w:rsidR="002B308A">
              <w:rPr>
                <w:rFonts w:ascii="Arial" w:hAnsi="Arial" w:cs="Arial"/>
                <w:color w:val="999999"/>
                <w:sz w:val="16"/>
                <w:szCs w:val="20"/>
              </w:rPr>
              <w:t>r indirectly in an active market</w:t>
            </w:r>
            <w:r w:rsidR="00FF73A9">
              <w:rPr>
                <w:rFonts w:ascii="Arial" w:hAnsi="Arial" w:cs="Arial"/>
                <w:color w:val="999999"/>
                <w:sz w:val="16"/>
                <w:szCs w:val="20"/>
              </w:rPr>
              <w:t>.</w:t>
            </w:r>
          </w:p>
          <w:p w14:paraId="2A3578BE" w14:textId="77777777" w:rsidR="00950DB0" w:rsidRDefault="00950DB0" w:rsidP="00C6019B">
            <w:pPr>
              <w:spacing w:after="0" w:line="240" w:lineRule="auto"/>
              <w:jc w:val="both"/>
              <w:rPr>
                <w:rFonts w:ascii="Arial" w:eastAsia="Calibri" w:hAnsi="Arial" w:cs="Calibri"/>
                <w:sz w:val="20"/>
                <w:lang w:eastAsia="en-US"/>
              </w:rPr>
            </w:pPr>
          </w:p>
          <w:p w14:paraId="4587092E" w14:textId="77777777" w:rsidR="00F36746" w:rsidRDefault="00F36746" w:rsidP="00C6019B">
            <w:pPr>
              <w:spacing w:after="0" w:line="240" w:lineRule="auto"/>
              <w:jc w:val="both"/>
              <w:rPr>
                <w:rFonts w:ascii="Arial" w:eastAsia="Calibri" w:hAnsi="Arial" w:cs="Calibri"/>
                <w:sz w:val="20"/>
                <w:lang w:eastAsia="en-US"/>
              </w:rPr>
            </w:pPr>
          </w:p>
          <w:p w14:paraId="73038FDD" w14:textId="77777777" w:rsidR="003E491F" w:rsidRPr="00C6019B" w:rsidRDefault="00A82FE3" w:rsidP="00C6019B">
            <w:pPr>
              <w:spacing w:after="0" w:line="240" w:lineRule="auto"/>
              <w:jc w:val="both"/>
              <w:rPr>
                <w:rFonts w:ascii="Arial" w:eastAsia="Calibri" w:hAnsi="Arial" w:cs="Calibri"/>
                <w:sz w:val="20"/>
                <w:lang w:eastAsia="en-US"/>
              </w:rPr>
            </w:pPr>
            <w:r w:rsidRPr="00C6019B">
              <w:rPr>
                <w:rFonts w:ascii="Arial" w:eastAsia="Calibri" w:hAnsi="Arial" w:cs="Calibri"/>
                <w:sz w:val="20"/>
                <w:lang w:eastAsia="en-US"/>
              </w:rPr>
              <w:t>The information in this section has been provided to BHM by BHCM.</w:t>
            </w:r>
            <w:r w:rsidR="00CF2426" w:rsidRPr="00C6019B">
              <w:rPr>
                <w:rFonts w:ascii="Arial" w:eastAsia="Calibri" w:hAnsi="Arial" w:cs="Calibri"/>
                <w:sz w:val="20"/>
                <w:lang w:eastAsia="en-US"/>
              </w:rPr>
              <w:t xml:space="preserve"> </w:t>
            </w:r>
          </w:p>
          <w:p w14:paraId="4CAF921A" w14:textId="77777777" w:rsidR="003F2F55" w:rsidRDefault="003F2F55" w:rsidP="00A82AB0">
            <w:pPr>
              <w:spacing w:after="0" w:line="240" w:lineRule="auto"/>
              <w:jc w:val="both"/>
              <w:rPr>
                <w:rFonts w:cs="Leelawadee"/>
                <w:color w:val="000000"/>
                <w:szCs w:val="20"/>
              </w:rPr>
            </w:pPr>
          </w:p>
          <w:p w14:paraId="1D682E64" w14:textId="41151A3C" w:rsidR="00CA2956" w:rsidRPr="00CA2956" w:rsidRDefault="00CA2956" w:rsidP="00CA2956">
            <w:pPr>
              <w:spacing w:after="0" w:line="240" w:lineRule="auto"/>
              <w:jc w:val="both"/>
              <w:rPr>
                <w:rFonts w:ascii="Calibri" w:eastAsia="Calibri" w:hAnsi="Calibri" w:cs="Calibri"/>
                <w:color w:val="1F497D"/>
                <w:lang w:eastAsia="en-US"/>
              </w:rPr>
            </w:pPr>
            <w:r w:rsidRPr="00CA2956">
              <w:rPr>
                <w:rFonts w:ascii="Arial" w:hAnsi="Arial" w:cs="Arial"/>
                <w:color w:val="000000"/>
                <w:sz w:val="20"/>
                <w:szCs w:val="20"/>
              </w:rPr>
              <w:t xml:space="preserve">In </w:t>
            </w:r>
            <w:r w:rsidR="00DC11F3">
              <w:rPr>
                <w:rFonts w:ascii="Arial" w:hAnsi="Arial" w:cs="Arial"/>
                <w:color w:val="000000"/>
                <w:sz w:val="20"/>
                <w:szCs w:val="20"/>
              </w:rPr>
              <w:t xml:space="preserve">March </w:t>
            </w:r>
            <w:r w:rsidRPr="00CA2956">
              <w:rPr>
                <w:rFonts w:ascii="Arial" w:hAnsi="Arial" w:cs="Arial"/>
                <w:color w:val="000000"/>
                <w:sz w:val="20"/>
                <w:szCs w:val="20"/>
              </w:rPr>
              <w:t xml:space="preserve">the Fund’s losses came </w:t>
            </w:r>
            <w:r w:rsidR="00842179">
              <w:rPr>
                <w:rFonts w:ascii="Arial" w:hAnsi="Arial" w:cs="Arial"/>
                <w:color w:val="000000"/>
                <w:sz w:val="20"/>
                <w:szCs w:val="20"/>
              </w:rPr>
              <w:t>primarily</w:t>
            </w:r>
            <w:r w:rsidRPr="00CA2956">
              <w:rPr>
                <w:rFonts w:ascii="Arial" w:hAnsi="Arial" w:cs="Arial"/>
                <w:color w:val="000000"/>
                <w:sz w:val="20"/>
                <w:szCs w:val="20"/>
              </w:rPr>
              <w:t xml:space="preserve"> from interest rate and FX trading. Interest rate </w:t>
            </w:r>
            <w:r>
              <w:rPr>
                <w:rFonts w:ascii="Arial" w:hAnsi="Arial" w:cs="Arial"/>
                <w:color w:val="000000"/>
                <w:sz w:val="20"/>
                <w:szCs w:val="20"/>
              </w:rPr>
              <w:t>l</w:t>
            </w:r>
            <w:r w:rsidRPr="00CA2956">
              <w:rPr>
                <w:rFonts w:ascii="Arial" w:hAnsi="Arial" w:cs="Arial"/>
                <w:color w:val="000000"/>
                <w:sz w:val="20"/>
                <w:szCs w:val="20"/>
              </w:rPr>
              <w:t>osses were driven by a combination of directional and relative value positioning</w:t>
            </w:r>
            <w:r>
              <w:rPr>
                <w:rFonts w:ascii="Arial" w:hAnsi="Arial" w:cs="Arial"/>
                <w:color w:val="000000"/>
                <w:sz w:val="20"/>
                <w:szCs w:val="20"/>
              </w:rPr>
              <w:t xml:space="preserve"> </w:t>
            </w:r>
            <w:r w:rsidRPr="00CA2956">
              <w:rPr>
                <w:rFonts w:ascii="Arial" w:hAnsi="Arial" w:cs="Arial"/>
                <w:color w:val="000000"/>
                <w:sz w:val="20"/>
                <w:szCs w:val="20"/>
              </w:rPr>
              <w:t xml:space="preserve">predominantly in European interest rates and to a lesser degree in the US. Declines in the level of implied option volatility across the major interest rate markets also contributed to the loss.  FX trading losses were driven in the most part by the strength of the EUR vs USD and </w:t>
            </w:r>
            <w:r w:rsidRPr="00CA2956">
              <w:rPr>
                <w:rFonts w:ascii="Arial" w:hAnsi="Arial" w:cs="Arial"/>
                <w:color w:val="000000"/>
                <w:sz w:val="20"/>
                <w:szCs w:val="20"/>
              </w:rPr>
              <w:lastRenderedPageBreak/>
              <w:t>to a lesser degree versus CHF, with partially offsetting gains from long positions in MXN and SEK. Small credit gains were generated by liquid agency trading.</w:t>
            </w:r>
          </w:p>
          <w:p w14:paraId="7295FB73" w14:textId="77777777" w:rsidR="003E491F" w:rsidRDefault="003E491F" w:rsidP="00A82FE3">
            <w:pPr>
              <w:pStyle w:val="NoSpacing"/>
            </w:pPr>
          </w:p>
          <w:p w14:paraId="0FDE945A" w14:textId="70820A5E" w:rsidR="001C473E" w:rsidRDefault="001C473E" w:rsidP="00BB19FD">
            <w:pPr>
              <w:spacing w:after="120" w:line="288" w:lineRule="auto"/>
              <w:jc w:val="both"/>
              <w:rPr>
                <w:rFonts w:ascii="Arial" w:hAnsi="Arial" w:cs="Arial"/>
                <w:sz w:val="20"/>
                <w:szCs w:val="20"/>
              </w:rPr>
            </w:pPr>
            <w:r w:rsidRPr="00744821">
              <w:rPr>
                <w:rFonts w:ascii="Arial" w:hAnsi="Arial" w:cs="Arial"/>
                <w:color w:val="999999"/>
                <w:sz w:val="16"/>
                <w:szCs w:val="20"/>
              </w:rPr>
              <w:t xml:space="preserve">The performance </w:t>
            </w:r>
            <w:r>
              <w:rPr>
                <w:rFonts w:ascii="Arial" w:hAnsi="Arial" w:cs="Arial"/>
                <w:color w:val="999999"/>
                <w:sz w:val="16"/>
                <w:szCs w:val="20"/>
              </w:rPr>
              <w:t xml:space="preserve">review and </w:t>
            </w:r>
            <w:r w:rsidRPr="00744821">
              <w:rPr>
                <w:rFonts w:ascii="Arial" w:hAnsi="Arial" w:cs="Arial"/>
                <w:color w:val="999999"/>
                <w:sz w:val="16"/>
                <w:szCs w:val="20"/>
              </w:rPr>
              <w:t>attributions are derived from data calculated by BHCM, based on total performance data for each period provided by the Fund’s administrator (</w:t>
            </w:r>
            <w:r w:rsidR="0019064E">
              <w:rPr>
                <w:rFonts w:ascii="Arial" w:hAnsi="Arial" w:cs="Arial"/>
                <w:color w:val="999999"/>
                <w:sz w:val="16"/>
                <w:szCs w:val="20"/>
              </w:rPr>
              <w:t>IFS</w:t>
            </w:r>
            <w:r>
              <w:rPr>
                <w:rFonts w:ascii="Arial" w:hAnsi="Arial" w:cs="Arial"/>
                <w:color w:val="999999"/>
                <w:sz w:val="16"/>
                <w:szCs w:val="20"/>
              </w:rPr>
              <w:t xml:space="preserve">) </w:t>
            </w:r>
            <w:r w:rsidRPr="00744821">
              <w:rPr>
                <w:rFonts w:ascii="Arial" w:hAnsi="Arial" w:cs="Arial"/>
                <w:color w:val="999999"/>
                <w:sz w:val="16"/>
                <w:szCs w:val="20"/>
              </w:rPr>
              <w:t xml:space="preserve">and risk data provided by BHCM, as at </w:t>
            </w:r>
            <w:r w:rsidR="00BB19FD">
              <w:rPr>
                <w:rFonts w:ascii="Arial" w:hAnsi="Arial" w:cs="Arial"/>
                <w:color w:val="999999"/>
                <w:sz w:val="16"/>
                <w:szCs w:val="20"/>
              </w:rPr>
              <w:t>31 March 2</w:t>
            </w:r>
            <w:r w:rsidR="006E30D1">
              <w:rPr>
                <w:rFonts w:ascii="Arial" w:hAnsi="Arial" w:cs="Arial"/>
                <w:color w:val="999999"/>
                <w:sz w:val="16"/>
                <w:szCs w:val="20"/>
              </w:rPr>
              <w:t>017</w:t>
            </w:r>
            <w:r w:rsidR="0073017E">
              <w:rPr>
                <w:rFonts w:ascii="Arial" w:hAnsi="Arial" w:cs="Arial"/>
                <w:color w:val="999999"/>
                <w:sz w:val="16"/>
                <w:szCs w:val="20"/>
              </w:rPr>
              <w:t>.</w:t>
            </w:r>
          </w:p>
        </w:tc>
      </w:tr>
      <w:tr w:rsidR="007A4D7C" w14:paraId="0FDE9463" w14:textId="77777777" w:rsidTr="00FF2A1B">
        <w:trPr>
          <w:trHeight w:val="213"/>
        </w:trPr>
        <w:tc>
          <w:tcPr>
            <w:tcW w:w="1809" w:type="dxa"/>
          </w:tcPr>
          <w:p w14:paraId="0FDE945C" w14:textId="67299A36" w:rsidR="007A4D7C" w:rsidRPr="007A4D7C" w:rsidRDefault="007A4D7C" w:rsidP="00A82FE3">
            <w:pPr>
              <w:spacing w:after="0" w:line="288" w:lineRule="auto"/>
              <w:rPr>
                <w:rFonts w:ascii="Arial" w:hAnsi="Arial" w:cs="Arial"/>
                <w:b/>
                <w:color w:val="BC5E1E"/>
                <w:sz w:val="20"/>
                <w:szCs w:val="20"/>
              </w:rPr>
            </w:pPr>
          </w:p>
        </w:tc>
        <w:tc>
          <w:tcPr>
            <w:tcW w:w="8364" w:type="dxa"/>
          </w:tcPr>
          <w:p w14:paraId="5F1F49E4" w14:textId="77777777" w:rsidR="00A82FE3" w:rsidRDefault="00A82FE3" w:rsidP="00A82FE3">
            <w:pPr>
              <w:spacing w:after="0" w:line="288" w:lineRule="auto"/>
              <w:jc w:val="both"/>
              <w:rPr>
                <w:rFonts w:ascii="Arial" w:hAnsi="Arial" w:cs="Arial"/>
                <w:b/>
                <w:color w:val="BC5E1E"/>
                <w:sz w:val="20"/>
                <w:szCs w:val="20"/>
              </w:rPr>
            </w:pPr>
            <w:r w:rsidRPr="00C61EFB">
              <w:rPr>
                <w:rFonts w:ascii="Arial" w:hAnsi="Arial" w:cs="Arial"/>
                <w:b/>
                <w:color w:val="BC5E1E"/>
                <w:sz w:val="20"/>
                <w:szCs w:val="20"/>
              </w:rPr>
              <w:t>Performance by Asset Class</w:t>
            </w:r>
            <w:r>
              <w:rPr>
                <w:rFonts w:ascii="Arial" w:hAnsi="Arial" w:cs="Arial"/>
                <w:b/>
                <w:color w:val="BC5E1E"/>
                <w:sz w:val="20"/>
                <w:szCs w:val="20"/>
              </w:rPr>
              <w:t xml:space="preserve"> </w:t>
            </w:r>
          </w:p>
          <w:p w14:paraId="4E62A457" w14:textId="4678B7BD" w:rsidR="00A82FE3" w:rsidRDefault="00A82FE3" w:rsidP="00A82FE3">
            <w:pPr>
              <w:spacing w:after="0" w:line="288" w:lineRule="auto"/>
              <w:jc w:val="both"/>
              <w:rPr>
                <w:rFonts w:ascii="Arial" w:hAnsi="Arial" w:cs="Arial"/>
                <w:b/>
                <w:color w:val="BC5E1E"/>
                <w:sz w:val="20"/>
                <w:szCs w:val="20"/>
              </w:rPr>
            </w:pPr>
            <w:r w:rsidRPr="00F170B0">
              <w:rPr>
                <w:rFonts w:ascii="Arial" w:hAnsi="Arial" w:cs="Arial"/>
                <w:b/>
                <w:color w:val="BC5E1E"/>
                <w:sz w:val="20"/>
                <w:szCs w:val="20"/>
              </w:rPr>
              <w:t xml:space="preserve">Monthly, quarterly and annual contribution (%) to the performance of BHM USD Shares (net of fees and expenses) by </w:t>
            </w:r>
            <w:r w:rsidR="006917B2">
              <w:rPr>
                <w:rFonts w:ascii="Arial" w:hAnsi="Arial" w:cs="Arial"/>
                <w:b/>
                <w:color w:val="BC5E1E"/>
                <w:sz w:val="20"/>
                <w:szCs w:val="20"/>
              </w:rPr>
              <w:t xml:space="preserve">asset class as at </w:t>
            </w:r>
            <w:r w:rsidR="00BB19FD">
              <w:rPr>
                <w:rFonts w:ascii="Arial" w:hAnsi="Arial" w:cs="Arial"/>
                <w:b/>
                <w:color w:val="BC5E1E"/>
                <w:sz w:val="20"/>
                <w:szCs w:val="20"/>
              </w:rPr>
              <w:t>31 March</w:t>
            </w:r>
            <w:r w:rsidR="004825EB">
              <w:rPr>
                <w:rFonts w:ascii="Arial" w:hAnsi="Arial" w:cs="Arial"/>
                <w:b/>
                <w:color w:val="BC5E1E"/>
                <w:sz w:val="20"/>
                <w:szCs w:val="20"/>
              </w:rPr>
              <w:t xml:space="preserve"> </w:t>
            </w:r>
            <w:r w:rsidR="006E30D1">
              <w:rPr>
                <w:rFonts w:ascii="Arial" w:hAnsi="Arial" w:cs="Arial"/>
                <w:b/>
                <w:color w:val="BC5E1E"/>
                <w:sz w:val="20"/>
                <w:szCs w:val="20"/>
              </w:rPr>
              <w:t>2017</w:t>
            </w:r>
          </w:p>
          <w:tbl>
            <w:tblPr>
              <w:tblpPr w:leftFromText="180" w:rightFromText="180" w:vertAnchor="text" w:horzAnchor="margin" w:tblpY="83"/>
              <w:tblOverlap w:val="neve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58"/>
              <w:gridCol w:w="1005"/>
              <w:gridCol w:w="954"/>
              <w:gridCol w:w="1065"/>
              <w:gridCol w:w="995"/>
              <w:gridCol w:w="998"/>
              <w:gridCol w:w="981"/>
              <w:gridCol w:w="981"/>
            </w:tblGrid>
            <w:tr w:rsidR="00A82FE3" w:rsidRPr="006B6561" w14:paraId="17DB45CA" w14:textId="77777777" w:rsidTr="00676DBC">
              <w:trPr>
                <w:trHeight w:val="385"/>
              </w:trPr>
              <w:tc>
                <w:tcPr>
                  <w:tcW w:w="1258" w:type="dxa"/>
                  <w:tcBorders>
                    <w:top w:val="single" w:sz="4" w:space="0" w:color="auto"/>
                    <w:left w:val="single" w:sz="4" w:space="0" w:color="auto"/>
                    <w:bottom w:val="single" w:sz="4" w:space="0" w:color="auto"/>
                    <w:right w:val="single" w:sz="4" w:space="0" w:color="auto"/>
                  </w:tcBorders>
                  <w:shd w:val="clear" w:color="auto" w:fill="E6E6E6"/>
                  <w:vAlign w:val="center"/>
                </w:tcPr>
                <w:p w14:paraId="394788C1" w14:textId="742A405E" w:rsidR="00A82FE3" w:rsidRPr="00A62B1A" w:rsidRDefault="00A82FE3" w:rsidP="006E30D1">
                  <w:pPr>
                    <w:pStyle w:val="BodyText"/>
                    <w:adjustRightInd w:val="0"/>
                    <w:spacing w:after="0" w:line="240" w:lineRule="auto"/>
                    <w:contextualSpacing/>
                    <w:jc w:val="center"/>
                    <w:rPr>
                      <w:b/>
                      <w:bCs/>
                      <w:color w:val="000000"/>
                      <w:sz w:val="13"/>
                      <w:szCs w:val="13"/>
                    </w:rPr>
                  </w:pPr>
                  <w:r>
                    <w:rPr>
                      <w:b/>
                      <w:bCs/>
                      <w:color w:val="000000"/>
                      <w:sz w:val="13"/>
                      <w:szCs w:val="13"/>
                    </w:rPr>
                    <w:t>201</w:t>
                  </w:r>
                  <w:r w:rsidR="006E30D1">
                    <w:rPr>
                      <w:b/>
                      <w:bCs/>
                      <w:color w:val="000000"/>
                      <w:sz w:val="13"/>
                      <w:szCs w:val="13"/>
                    </w:rPr>
                    <w:t>7</w:t>
                  </w:r>
                </w:p>
              </w:tc>
              <w:tc>
                <w:tcPr>
                  <w:tcW w:w="1005" w:type="dxa"/>
                  <w:tcBorders>
                    <w:top w:val="single" w:sz="4" w:space="0" w:color="auto"/>
                    <w:left w:val="single" w:sz="4" w:space="0" w:color="auto"/>
                    <w:bottom w:val="single" w:sz="4" w:space="0" w:color="auto"/>
                    <w:right w:val="single" w:sz="4" w:space="0" w:color="auto"/>
                  </w:tcBorders>
                  <w:shd w:val="clear" w:color="auto" w:fill="E6E6E6"/>
                  <w:vAlign w:val="center"/>
                </w:tcPr>
                <w:p w14:paraId="08562437"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Rates</w:t>
                  </w:r>
                </w:p>
              </w:tc>
              <w:tc>
                <w:tcPr>
                  <w:tcW w:w="954" w:type="dxa"/>
                  <w:tcBorders>
                    <w:top w:val="single" w:sz="4" w:space="0" w:color="auto"/>
                    <w:left w:val="single" w:sz="4" w:space="0" w:color="auto"/>
                    <w:bottom w:val="single" w:sz="4" w:space="0" w:color="auto"/>
                    <w:right w:val="single" w:sz="4" w:space="0" w:color="auto"/>
                  </w:tcBorders>
                  <w:shd w:val="clear" w:color="auto" w:fill="E6E6E6"/>
                  <w:vAlign w:val="center"/>
                </w:tcPr>
                <w:p w14:paraId="6BB80C1F"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FX</w:t>
                  </w:r>
                </w:p>
              </w:tc>
              <w:tc>
                <w:tcPr>
                  <w:tcW w:w="1065" w:type="dxa"/>
                  <w:tcBorders>
                    <w:top w:val="single" w:sz="4" w:space="0" w:color="auto"/>
                    <w:left w:val="single" w:sz="4" w:space="0" w:color="auto"/>
                    <w:bottom w:val="single" w:sz="4" w:space="0" w:color="auto"/>
                    <w:right w:val="single" w:sz="4" w:space="0" w:color="auto"/>
                  </w:tcBorders>
                  <w:shd w:val="clear" w:color="auto" w:fill="E6E6E6"/>
                  <w:vAlign w:val="center"/>
                </w:tcPr>
                <w:p w14:paraId="0EB5FFAB"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Commodity</w:t>
                  </w:r>
                </w:p>
              </w:tc>
              <w:tc>
                <w:tcPr>
                  <w:tcW w:w="995" w:type="dxa"/>
                  <w:tcBorders>
                    <w:top w:val="single" w:sz="4" w:space="0" w:color="auto"/>
                    <w:left w:val="single" w:sz="4" w:space="0" w:color="auto"/>
                    <w:bottom w:val="single" w:sz="4" w:space="0" w:color="auto"/>
                    <w:right w:val="single" w:sz="4" w:space="0" w:color="auto"/>
                  </w:tcBorders>
                  <w:shd w:val="clear" w:color="auto" w:fill="E6E6E6"/>
                  <w:vAlign w:val="center"/>
                </w:tcPr>
                <w:p w14:paraId="771E0714"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Credit</w:t>
                  </w:r>
                </w:p>
              </w:tc>
              <w:tc>
                <w:tcPr>
                  <w:tcW w:w="998" w:type="dxa"/>
                  <w:tcBorders>
                    <w:top w:val="single" w:sz="4" w:space="0" w:color="auto"/>
                    <w:left w:val="single" w:sz="4" w:space="0" w:color="auto"/>
                    <w:bottom w:val="single" w:sz="4" w:space="0" w:color="auto"/>
                    <w:right w:val="single" w:sz="4" w:space="0" w:color="auto"/>
                  </w:tcBorders>
                  <w:shd w:val="clear" w:color="auto" w:fill="E6E6E6"/>
                  <w:vAlign w:val="center"/>
                </w:tcPr>
                <w:p w14:paraId="560280CD"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Equity</w:t>
                  </w:r>
                </w:p>
              </w:tc>
              <w:tc>
                <w:tcPr>
                  <w:tcW w:w="981" w:type="dxa"/>
                  <w:tcBorders>
                    <w:top w:val="single" w:sz="4" w:space="0" w:color="auto"/>
                    <w:left w:val="single" w:sz="4" w:space="0" w:color="auto"/>
                    <w:bottom w:val="single" w:sz="4" w:space="0" w:color="auto"/>
                    <w:right w:val="single" w:sz="4" w:space="0" w:color="auto"/>
                  </w:tcBorders>
                  <w:shd w:val="clear" w:color="auto" w:fill="E6E6E6"/>
                </w:tcPr>
                <w:p w14:paraId="39141FF3" w14:textId="3FB8AADB" w:rsidR="00A82FE3" w:rsidRPr="001805C7" w:rsidRDefault="00A82FE3">
                  <w:pPr>
                    <w:pStyle w:val="BodyText"/>
                    <w:adjustRightInd w:val="0"/>
                    <w:spacing w:after="0" w:line="240" w:lineRule="auto"/>
                    <w:contextualSpacing/>
                    <w:jc w:val="center"/>
                    <w:rPr>
                      <w:b/>
                      <w:iCs/>
                      <w:color w:val="000000"/>
                      <w:sz w:val="13"/>
                      <w:szCs w:val="13"/>
                    </w:rPr>
                  </w:pPr>
                  <w:r>
                    <w:rPr>
                      <w:b/>
                      <w:iCs/>
                      <w:color w:val="000000"/>
                      <w:sz w:val="13"/>
                      <w:szCs w:val="13"/>
                    </w:rPr>
                    <w:t>Discount Management</w:t>
                  </w:r>
                </w:p>
              </w:tc>
              <w:tc>
                <w:tcPr>
                  <w:tcW w:w="981" w:type="dxa"/>
                  <w:tcBorders>
                    <w:top w:val="single" w:sz="4" w:space="0" w:color="auto"/>
                    <w:left w:val="single" w:sz="4" w:space="0" w:color="auto"/>
                    <w:bottom w:val="single" w:sz="4" w:space="0" w:color="auto"/>
                    <w:right w:val="single" w:sz="4" w:space="0" w:color="auto"/>
                  </w:tcBorders>
                  <w:shd w:val="clear" w:color="auto" w:fill="E6E6E6"/>
                  <w:vAlign w:val="center"/>
                </w:tcPr>
                <w:p w14:paraId="541A8132" w14:textId="77777777" w:rsidR="00A82FE3" w:rsidRPr="0023128C" w:rsidRDefault="00A82FE3" w:rsidP="00BB3FCB">
                  <w:pPr>
                    <w:pStyle w:val="BodyText"/>
                    <w:adjustRightInd w:val="0"/>
                    <w:spacing w:after="0" w:line="240" w:lineRule="auto"/>
                    <w:contextualSpacing/>
                    <w:jc w:val="center"/>
                    <w:rPr>
                      <w:b/>
                      <w:iCs/>
                      <w:color w:val="000000"/>
                      <w:sz w:val="13"/>
                      <w:szCs w:val="13"/>
                    </w:rPr>
                  </w:pPr>
                  <w:r w:rsidRPr="0023128C">
                    <w:rPr>
                      <w:b/>
                      <w:iCs/>
                      <w:color w:val="000000"/>
                      <w:sz w:val="13"/>
                      <w:szCs w:val="13"/>
                    </w:rPr>
                    <w:t>Total</w:t>
                  </w:r>
                </w:p>
              </w:tc>
            </w:tr>
            <w:tr w:rsidR="00676DBC" w:rsidRPr="006B6561" w14:paraId="3982A839" w14:textId="77777777" w:rsidTr="00D94591">
              <w:trPr>
                <w:trHeight w:val="246"/>
              </w:trPr>
              <w:tc>
                <w:tcPr>
                  <w:tcW w:w="1258" w:type="dxa"/>
                  <w:tcBorders>
                    <w:top w:val="single" w:sz="4" w:space="0" w:color="auto"/>
                    <w:left w:val="single" w:sz="4" w:space="0" w:color="auto"/>
                    <w:bottom w:val="single" w:sz="4" w:space="0" w:color="auto"/>
                    <w:right w:val="single" w:sz="4" w:space="0" w:color="auto"/>
                  </w:tcBorders>
                  <w:shd w:val="clear" w:color="auto" w:fill="E6E6E6"/>
                  <w:vAlign w:val="center"/>
                </w:tcPr>
                <w:p w14:paraId="651956F6" w14:textId="18AFA97B" w:rsidR="00676DBC" w:rsidRDefault="00201BC8" w:rsidP="002D1BFB">
                  <w:pPr>
                    <w:pStyle w:val="BodyText"/>
                    <w:spacing w:after="0" w:line="240" w:lineRule="auto"/>
                    <w:contextualSpacing/>
                    <w:jc w:val="center"/>
                    <w:rPr>
                      <w:rFonts w:cs="Arial"/>
                      <w:b/>
                      <w:bCs/>
                      <w:iCs/>
                      <w:sz w:val="13"/>
                    </w:rPr>
                  </w:pPr>
                  <w:r>
                    <w:rPr>
                      <w:rFonts w:cs="Arial"/>
                      <w:b/>
                      <w:bCs/>
                      <w:iCs/>
                      <w:sz w:val="13"/>
                    </w:rPr>
                    <w:t>March</w:t>
                  </w:r>
                  <w:r w:rsidR="002D1BFB">
                    <w:rPr>
                      <w:rFonts w:cs="Arial"/>
                      <w:b/>
                      <w:bCs/>
                      <w:iCs/>
                      <w:sz w:val="13"/>
                    </w:rPr>
                    <w:t xml:space="preserve"> </w:t>
                  </w:r>
                  <w:r w:rsidR="006E30D1">
                    <w:rPr>
                      <w:rFonts w:cs="Arial"/>
                      <w:b/>
                      <w:bCs/>
                      <w:iCs/>
                      <w:sz w:val="13"/>
                    </w:rPr>
                    <w:t>2017</w:t>
                  </w:r>
                </w:p>
              </w:tc>
              <w:tc>
                <w:tcPr>
                  <w:tcW w:w="1005" w:type="dxa"/>
                  <w:tcBorders>
                    <w:top w:val="single" w:sz="4" w:space="0" w:color="auto"/>
                    <w:left w:val="single" w:sz="4" w:space="0" w:color="auto"/>
                    <w:bottom w:val="single" w:sz="4" w:space="0" w:color="auto"/>
                    <w:right w:val="single" w:sz="4" w:space="0" w:color="auto"/>
                  </w:tcBorders>
                  <w:vAlign w:val="center"/>
                </w:tcPr>
                <w:p w14:paraId="182A064B" w14:textId="171AD610" w:rsidR="00676DBC" w:rsidRPr="006E5F6D" w:rsidRDefault="00B901A3" w:rsidP="001E2754">
                  <w:pPr>
                    <w:spacing w:after="0" w:line="240" w:lineRule="auto"/>
                    <w:jc w:val="center"/>
                    <w:rPr>
                      <w:rFonts w:ascii="Arial" w:hAnsi="Arial" w:cs="Arial"/>
                      <w:sz w:val="13"/>
                      <w:szCs w:val="13"/>
                    </w:rPr>
                  </w:pPr>
                  <w:r>
                    <w:rPr>
                      <w:rFonts w:ascii="Arial" w:hAnsi="Arial" w:cs="Arial"/>
                      <w:sz w:val="13"/>
                      <w:szCs w:val="13"/>
                    </w:rPr>
                    <w:t>-2.05</w:t>
                  </w:r>
                </w:p>
              </w:tc>
              <w:tc>
                <w:tcPr>
                  <w:tcW w:w="954" w:type="dxa"/>
                  <w:tcBorders>
                    <w:top w:val="single" w:sz="4" w:space="0" w:color="auto"/>
                    <w:left w:val="single" w:sz="4" w:space="0" w:color="auto"/>
                    <w:bottom w:val="single" w:sz="4" w:space="0" w:color="auto"/>
                    <w:right w:val="single" w:sz="4" w:space="0" w:color="auto"/>
                  </w:tcBorders>
                  <w:vAlign w:val="center"/>
                </w:tcPr>
                <w:p w14:paraId="1F402671" w14:textId="7B92CEAB"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-0.85</w:t>
                  </w:r>
                </w:p>
              </w:tc>
              <w:tc>
                <w:tcPr>
                  <w:tcW w:w="1065" w:type="dxa"/>
                  <w:tcBorders>
                    <w:top w:val="single" w:sz="4" w:space="0" w:color="auto"/>
                    <w:left w:val="single" w:sz="4" w:space="0" w:color="auto"/>
                    <w:bottom w:val="single" w:sz="4" w:space="0" w:color="auto"/>
                    <w:right w:val="single" w:sz="4" w:space="0" w:color="auto"/>
                  </w:tcBorders>
                  <w:vAlign w:val="center"/>
                </w:tcPr>
                <w:p w14:paraId="7B0F838E" w14:textId="4A0F726D"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0.00</w:t>
                  </w:r>
                </w:p>
              </w:tc>
              <w:tc>
                <w:tcPr>
                  <w:tcW w:w="995" w:type="dxa"/>
                  <w:tcBorders>
                    <w:top w:val="single" w:sz="4" w:space="0" w:color="auto"/>
                    <w:left w:val="single" w:sz="4" w:space="0" w:color="auto"/>
                    <w:bottom w:val="single" w:sz="4" w:space="0" w:color="auto"/>
                    <w:right w:val="single" w:sz="4" w:space="0" w:color="auto"/>
                  </w:tcBorders>
                  <w:vAlign w:val="center"/>
                </w:tcPr>
                <w:p w14:paraId="1D36DBDE" w14:textId="4DA5A6A0"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0.07</w:t>
                  </w:r>
                </w:p>
              </w:tc>
              <w:tc>
                <w:tcPr>
                  <w:tcW w:w="998" w:type="dxa"/>
                  <w:tcBorders>
                    <w:top w:val="single" w:sz="4" w:space="0" w:color="auto"/>
                    <w:left w:val="single" w:sz="4" w:space="0" w:color="auto"/>
                    <w:bottom w:val="single" w:sz="4" w:space="0" w:color="auto"/>
                    <w:right w:val="single" w:sz="4" w:space="0" w:color="auto"/>
                  </w:tcBorders>
                  <w:vAlign w:val="center"/>
                </w:tcPr>
                <w:p w14:paraId="5C9DA219" w14:textId="66F61899"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-0.02</w:t>
                  </w:r>
                </w:p>
              </w:tc>
              <w:tc>
                <w:tcPr>
                  <w:tcW w:w="981" w:type="dxa"/>
                  <w:tcBorders>
                    <w:top w:val="single" w:sz="4" w:space="0" w:color="auto"/>
                    <w:left w:val="single" w:sz="4" w:space="0" w:color="auto"/>
                    <w:bottom w:val="single" w:sz="4" w:space="0" w:color="auto"/>
                    <w:right w:val="single" w:sz="4" w:space="0" w:color="auto"/>
                  </w:tcBorders>
                  <w:vAlign w:val="center"/>
                </w:tcPr>
                <w:p w14:paraId="266079BE" w14:textId="0A1A8292"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0.00</w:t>
                  </w:r>
                </w:p>
              </w:tc>
              <w:tc>
                <w:tcPr>
                  <w:tcW w:w="981" w:type="dxa"/>
                  <w:tcBorders>
                    <w:top w:val="single" w:sz="4" w:space="0" w:color="auto"/>
                    <w:left w:val="single" w:sz="4" w:space="0" w:color="auto"/>
                    <w:bottom w:val="single" w:sz="4" w:space="0" w:color="auto"/>
                    <w:right w:val="single" w:sz="4" w:space="0" w:color="auto"/>
                  </w:tcBorders>
                  <w:vAlign w:val="center"/>
                </w:tcPr>
                <w:p w14:paraId="5E2B2DA3" w14:textId="360FDE7A"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-2.84</w:t>
                  </w:r>
                </w:p>
              </w:tc>
            </w:tr>
            <w:tr w:rsidR="00D94591" w:rsidRPr="006B6561" w14:paraId="39BAA11C" w14:textId="77777777" w:rsidTr="00D94591">
              <w:trPr>
                <w:trHeight w:val="246"/>
              </w:trPr>
              <w:tc>
                <w:tcPr>
                  <w:tcW w:w="1258" w:type="dxa"/>
                  <w:tcBorders>
                    <w:top w:val="double" w:sz="4" w:space="0" w:color="auto"/>
                    <w:left w:val="single" w:sz="4" w:space="0" w:color="auto"/>
                    <w:bottom w:val="single" w:sz="4" w:space="0" w:color="auto"/>
                    <w:right w:val="single" w:sz="4" w:space="0" w:color="auto"/>
                  </w:tcBorders>
                  <w:shd w:val="clear" w:color="auto" w:fill="E6E6E6"/>
                  <w:vAlign w:val="center"/>
                </w:tcPr>
                <w:p w14:paraId="3561DCA0" w14:textId="631E1F5E" w:rsidR="00D94591" w:rsidRPr="00446C1A" w:rsidRDefault="00B901A3" w:rsidP="005E0883">
                  <w:pPr>
                    <w:pStyle w:val="BodyText"/>
                    <w:spacing w:after="0" w:line="240" w:lineRule="auto"/>
                    <w:contextualSpacing/>
                    <w:jc w:val="center"/>
                    <w:rPr>
                      <w:rFonts w:cs="Arial"/>
                      <w:b/>
                      <w:bCs/>
                      <w:iCs/>
                      <w:sz w:val="13"/>
                    </w:rPr>
                  </w:pPr>
                  <w:r>
                    <w:rPr>
                      <w:rFonts w:cs="Arial"/>
                      <w:b/>
                      <w:bCs/>
                      <w:iCs/>
                      <w:sz w:val="13"/>
                    </w:rPr>
                    <w:t>Q1</w:t>
                  </w:r>
                  <w:r w:rsidR="00D94591">
                    <w:rPr>
                      <w:rFonts w:cs="Arial"/>
                      <w:b/>
                      <w:bCs/>
                      <w:iCs/>
                      <w:sz w:val="13"/>
                    </w:rPr>
                    <w:t xml:space="preserve"> 2017</w:t>
                  </w:r>
                </w:p>
              </w:tc>
              <w:tc>
                <w:tcPr>
                  <w:tcW w:w="1005" w:type="dxa"/>
                  <w:tcBorders>
                    <w:top w:val="double" w:sz="4" w:space="0" w:color="auto"/>
                    <w:left w:val="single" w:sz="4" w:space="0" w:color="auto"/>
                    <w:bottom w:val="single" w:sz="4" w:space="0" w:color="auto"/>
                    <w:right w:val="single" w:sz="4" w:space="0" w:color="auto"/>
                  </w:tcBorders>
                  <w:vAlign w:val="center"/>
                </w:tcPr>
                <w:p w14:paraId="0659A691" w14:textId="15A63610" w:rsidR="00D94591" w:rsidRPr="006E5F6D" w:rsidRDefault="00B901A3" w:rsidP="001E2754">
                  <w:pPr>
                    <w:spacing w:after="0" w:line="240" w:lineRule="auto"/>
                    <w:jc w:val="center"/>
                    <w:rPr>
                      <w:rFonts w:ascii="Arial" w:hAnsi="Arial" w:cs="Arial"/>
                      <w:sz w:val="13"/>
                      <w:szCs w:val="13"/>
                    </w:rPr>
                  </w:pPr>
                  <w:r>
                    <w:rPr>
                      <w:rFonts w:ascii="Arial" w:hAnsi="Arial" w:cs="Arial"/>
                      <w:sz w:val="13"/>
                      <w:szCs w:val="13"/>
                    </w:rPr>
                    <w:t>0.26</w:t>
                  </w:r>
                </w:p>
              </w:tc>
              <w:tc>
                <w:tcPr>
                  <w:tcW w:w="954" w:type="dxa"/>
                  <w:tcBorders>
                    <w:top w:val="double" w:sz="4" w:space="0" w:color="auto"/>
                    <w:left w:val="single" w:sz="4" w:space="0" w:color="auto"/>
                    <w:bottom w:val="single" w:sz="4" w:space="0" w:color="auto"/>
                    <w:right w:val="single" w:sz="4" w:space="0" w:color="auto"/>
                  </w:tcBorders>
                  <w:vAlign w:val="center"/>
                </w:tcPr>
                <w:p w14:paraId="3857C43F" w14:textId="2474C048"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-3.10</w:t>
                  </w:r>
                </w:p>
              </w:tc>
              <w:tc>
                <w:tcPr>
                  <w:tcW w:w="1065" w:type="dxa"/>
                  <w:tcBorders>
                    <w:top w:val="double" w:sz="4" w:space="0" w:color="auto"/>
                    <w:left w:val="single" w:sz="4" w:space="0" w:color="auto"/>
                    <w:bottom w:val="single" w:sz="4" w:space="0" w:color="auto"/>
                    <w:right w:val="single" w:sz="4" w:space="0" w:color="auto"/>
                  </w:tcBorders>
                  <w:vAlign w:val="center"/>
                </w:tcPr>
                <w:p w14:paraId="1A1067E0" w14:textId="2E015409"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-0.01</w:t>
                  </w:r>
                </w:p>
              </w:tc>
              <w:tc>
                <w:tcPr>
                  <w:tcW w:w="995" w:type="dxa"/>
                  <w:tcBorders>
                    <w:top w:val="double" w:sz="4" w:space="0" w:color="auto"/>
                    <w:left w:val="single" w:sz="4" w:space="0" w:color="auto"/>
                    <w:bottom w:val="single" w:sz="4" w:space="0" w:color="auto"/>
                    <w:right w:val="single" w:sz="4" w:space="0" w:color="auto"/>
                  </w:tcBorders>
                  <w:vAlign w:val="center"/>
                </w:tcPr>
                <w:p w14:paraId="026DBEB1" w14:textId="0401BADC"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0.29</w:t>
                  </w:r>
                </w:p>
              </w:tc>
              <w:tc>
                <w:tcPr>
                  <w:tcW w:w="998" w:type="dxa"/>
                  <w:tcBorders>
                    <w:top w:val="double" w:sz="4" w:space="0" w:color="auto"/>
                    <w:left w:val="single" w:sz="4" w:space="0" w:color="auto"/>
                    <w:bottom w:val="single" w:sz="4" w:space="0" w:color="auto"/>
                    <w:right w:val="single" w:sz="4" w:space="0" w:color="auto"/>
                  </w:tcBorders>
                  <w:vAlign w:val="center"/>
                </w:tcPr>
                <w:p w14:paraId="47393643" w14:textId="516A3860" w:rsidR="00D94591" w:rsidRPr="00D94591" w:rsidRDefault="00B901A3" w:rsidP="00D94591">
                  <w:pPr>
                    <w:spacing w:after="0" w:line="240" w:lineRule="auto"/>
                    <w:jc w:val="center"/>
                    <w:rPr>
                      <w:rFonts w:ascii="Arial" w:hAnsi="Arial" w:cs="Arial"/>
                      <w:sz w:val="13"/>
                      <w:szCs w:val="13"/>
                    </w:rPr>
                  </w:pPr>
                  <w:r>
                    <w:rPr>
                      <w:rFonts w:ascii="Arial" w:hAnsi="Arial" w:cs="Arial"/>
                      <w:sz w:val="13"/>
                      <w:szCs w:val="13"/>
                    </w:rPr>
                    <w:t>0.15</w:t>
                  </w:r>
                </w:p>
              </w:tc>
              <w:tc>
                <w:tcPr>
                  <w:tcW w:w="981" w:type="dxa"/>
                  <w:tcBorders>
                    <w:top w:val="double" w:sz="4" w:space="0" w:color="auto"/>
                    <w:left w:val="single" w:sz="4" w:space="0" w:color="auto"/>
                    <w:bottom w:val="single" w:sz="4" w:space="0" w:color="auto"/>
                    <w:right w:val="single" w:sz="4" w:space="0" w:color="auto"/>
                  </w:tcBorders>
                  <w:vAlign w:val="center"/>
                </w:tcPr>
                <w:p w14:paraId="78E37763" w14:textId="7301AC63"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0.00</w:t>
                  </w:r>
                </w:p>
              </w:tc>
              <w:tc>
                <w:tcPr>
                  <w:tcW w:w="981" w:type="dxa"/>
                  <w:tcBorders>
                    <w:top w:val="double" w:sz="4" w:space="0" w:color="auto"/>
                    <w:left w:val="single" w:sz="4" w:space="0" w:color="auto"/>
                    <w:bottom w:val="single" w:sz="4" w:space="0" w:color="auto"/>
                    <w:right w:val="single" w:sz="4" w:space="0" w:color="auto"/>
                  </w:tcBorders>
                  <w:vAlign w:val="center"/>
                </w:tcPr>
                <w:p w14:paraId="49681A02" w14:textId="223F594A"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-2.44</w:t>
                  </w:r>
                </w:p>
              </w:tc>
            </w:tr>
            <w:tr w:rsidR="00D94591" w:rsidRPr="006B6561" w14:paraId="58E42600" w14:textId="77777777" w:rsidTr="00D94591">
              <w:trPr>
                <w:trHeight w:val="246"/>
              </w:trPr>
              <w:tc>
                <w:tcPr>
                  <w:tcW w:w="1258" w:type="dxa"/>
                  <w:tcBorders>
                    <w:top w:val="double" w:sz="4" w:space="0" w:color="auto"/>
                    <w:left w:val="single" w:sz="4" w:space="0" w:color="auto"/>
                    <w:bottom w:val="single" w:sz="4" w:space="0" w:color="auto"/>
                    <w:right w:val="single" w:sz="4" w:space="0" w:color="auto"/>
                  </w:tcBorders>
                  <w:shd w:val="clear" w:color="auto" w:fill="E6E6E6"/>
                  <w:vAlign w:val="center"/>
                </w:tcPr>
                <w:p w14:paraId="5AF32402" w14:textId="1185BB21" w:rsidR="00D94591" w:rsidRPr="00AA35AF" w:rsidRDefault="00D94591" w:rsidP="005E0883">
                  <w:pPr>
                    <w:pStyle w:val="BodyText"/>
                    <w:tabs>
                      <w:tab w:val="left" w:pos="687"/>
                    </w:tabs>
                    <w:spacing w:after="0" w:line="240" w:lineRule="auto"/>
                    <w:contextualSpacing/>
                    <w:jc w:val="center"/>
                    <w:rPr>
                      <w:rFonts w:cs="Arial"/>
                      <w:b/>
                      <w:bCs/>
                      <w:iCs/>
                      <w:sz w:val="13"/>
                    </w:rPr>
                  </w:pPr>
                  <w:r>
                    <w:rPr>
                      <w:rFonts w:cs="Arial"/>
                      <w:b/>
                      <w:bCs/>
                      <w:iCs/>
                      <w:sz w:val="13"/>
                    </w:rPr>
                    <w:t>YTD 2017</w:t>
                  </w:r>
                </w:p>
              </w:tc>
              <w:tc>
                <w:tcPr>
                  <w:tcW w:w="1005" w:type="dxa"/>
                  <w:tcBorders>
                    <w:top w:val="double" w:sz="4" w:space="0" w:color="auto"/>
                    <w:left w:val="single" w:sz="4" w:space="0" w:color="auto"/>
                    <w:bottom w:val="single" w:sz="4" w:space="0" w:color="auto"/>
                    <w:right w:val="single" w:sz="4" w:space="0" w:color="auto"/>
                  </w:tcBorders>
                  <w:vAlign w:val="center"/>
                </w:tcPr>
                <w:p w14:paraId="3CB9497A" w14:textId="73512101" w:rsidR="00D94591" w:rsidRPr="006E5F6D" w:rsidRDefault="00B901A3" w:rsidP="001E2754">
                  <w:pPr>
                    <w:spacing w:after="0" w:line="240" w:lineRule="auto"/>
                    <w:jc w:val="center"/>
                    <w:rPr>
                      <w:rFonts w:ascii="Arial" w:hAnsi="Arial" w:cs="Arial"/>
                      <w:sz w:val="13"/>
                      <w:szCs w:val="13"/>
                    </w:rPr>
                  </w:pPr>
                  <w:r>
                    <w:rPr>
                      <w:rFonts w:ascii="Arial" w:hAnsi="Arial" w:cs="Arial"/>
                      <w:sz w:val="13"/>
                      <w:szCs w:val="13"/>
                    </w:rPr>
                    <w:t>0.26</w:t>
                  </w:r>
                </w:p>
              </w:tc>
              <w:tc>
                <w:tcPr>
                  <w:tcW w:w="954" w:type="dxa"/>
                  <w:tcBorders>
                    <w:top w:val="double" w:sz="4" w:space="0" w:color="auto"/>
                    <w:left w:val="single" w:sz="4" w:space="0" w:color="auto"/>
                    <w:bottom w:val="single" w:sz="4" w:space="0" w:color="auto"/>
                    <w:right w:val="single" w:sz="4" w:space="0" w:color="auto"/>
                  </w:tcBorders>
                  <w:vAlign w:val="center"/>
                </w:tcPr>
                <w:p w14:paraId="2B44A49D" w14:textId="0A6C1B41"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-3.10</w:t>
                  </w:r>
                </w:p>
              </w:tc>
              <w:tc>
                <w:tcPr>
                  <w:tcW w:w="1065" w:type="dxa"/>
                  <w:tcBorders>
                    <w:top w:val="double" w:sz="4" w:space="0" w:color="auto"/>
                    <w:left w:val="single" w:sz="4" w:space="0" w:color="auto"/>
                    <w:bottom w:val="single" w:sz="4" w:space="0" w:color="auto"/>
                    <w:right w:val="single" w:sz="4" w:space="0" w:color="auto"/>
                  </w:tcBorders>
                  <w:vAlign w:val="center"/>
                </w:tcPr>
                <w:p w14:paraId="036BE5F8" w14:textId="705E31B3"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-0.01</w:t>
                  </w:r>
                </w:p>
              </w:tc>
              <w:tc>
                <w:tcPr>
                  <w:tcW w:w="995" w:type="dxa"/>
                  <w:tcBorders>
                    <w:top w:val="double" w:sz="4" w:space="0" w:color="auto"/>
                    <w:left w:val="single" w:sz="4" w:space="0" w:color="auto"/>
                    <w:bottom w:val="single" w:sz="4" w:space="0" w:color="auto"/>
                    <w:right w:val="single" w:sz="4" w:space="0" w:color="auto"/>
                  </w:tcBorders>
                  <w:vAlign w:val="center"/>
                </w:tcPr>
                <w:p w14:paraId="5D6200C8" w14:textId="68A59CDB"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0.29</w:t>
                  </w:r>
                </w:p>
              </w:tc>
              <w:tc>
                <w:tcPr>
                  <w:tcW w:w="998" w:type="dxa"/>
                  <w:tcBorders>
                    <w:top w:val="double" w:sz="4" w:space="0" w:color="auto"/>
                    <w:left w:val="single" w:sz="4" w:space="0" w:color="auto"/>
                    <w:bottom w:val="single" w:sz="4" w:space="0" w:color="auto"/>
                    <w:right w:val="single" w:sz="4" w:space="0" w:color="auto"/>
                  </w:tcBorders>
                  <w:vAlign w:val="center"/>
                </w:tcPr>
                <w:p w14:paraId="13C4E083" w14:textId="347F6EED"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0.15</w:t>
                  </w:r>
                </w:p>
              </w:tc>
              <w:tc>
                <w:tcPr>
                  <w:tcW w:w="981" w:type="dxa"/>
                  <w:tcBorders>
                    <w:top w:val="double" w:sz="4" w:space="0" w:color="auto"/>
                    <w:left w:val="single" w:sz="4" w:space="0" w:color="auto"/>
                    <w:bottom w:val="single" w:sz="4" w:space="0" w:color="auto"/>
                    <w:right w:val="single" w:sz="4" w:space="0" w:color="auto"/>
                  </w:tcBorders>
                  <w:vAlign w:val="center"/>
                </w:tcPr>
                <w:p w14:paraId="02E5ABA1" w14:textId="17CF4D1F"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0.00</w:t>
                  </w:r>
                </w:p>
              </w:tc>
              <w:tc>
                <w:tcPr>
                  <w:tcW w:w="981" w:type="dxa"/>
                  <w:tcBorders>
                    <w:top w:val="double" w:sz="4" w:space="0" w:color="auto"/>
                    <w:left w:val="single" w:sz="4" w:space="0" w:color="auto"/>
                    <w:bottom w:val="single" w:sz="4" w:space="0" w:color="auto"/>
                    <w:right w:val="single" w:sz="4" w:space="0" w:color="auto"/>
                  </w:tcBorders>
                  <w:vAlign w:val="center"/>
                </w:tcPr>
                <w:p w14:paraId="3FF5EF25" w14:textId="06CE5BA2"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-2.44</w:t>
                  </w:r>
                </w:p>
              </w:tc>
            </w:tr>
          </w:tbl>
          <w:p w14:paraId="6C9F7061" w14:textId="2F811763" w:rsidR="00A82FE3" w:rsidRPr="0008021C" w:rsidRDefault="00A82FE3" w:rsidP="0008021C">
            <w:pPr>
              <w:spacing w:before="80" w:after="0" w:line="288" w:lineRule="auto"/>
              <w:jc w:val="both"/>
              <w:rPr>
                <w:rFonts w:ascii="Arial" w:hAnsi="Arial" w:cs="Arial"/>
                <w:color w:val="999999"/>
                <w:sz w:val="16"/>
                <w:szCs w:val="20"/>
              </w:rPr>
            </w:pPr>
            <w:r w:rsidRPr="00F170B0">
              <w:rPr>
                <w:rFonts w:ascii="Arial" w:hAnsi="Arial" w:cs="Arial"/>
                <w:color w:val="999999"/>
                <w:sz w:val="16"/>
                <w:szCs w:val="20"/>
              </w:rPr>
              <w:t>PAST PERFORMANCE IS NOT INDICATIVE OF FUTURE RESULT</w:t>
            </w:r>
            <w:r>
              <w:rPr>
                <w:rFonts w:ascii="Arial" w:hAnsi="Arial" w:cs="Arial"/>
                <w:color w:val="999999"/>
                <w:sz w:val="16"/>
                <w:szCs w:val="20"/>
              </w:rPr>
              <w:t>S</w:t>
            </w:r>
            <w:r w:rsidR="006917B2">
              <w:rPr>
                <w:rFonts w:ascii="Arial" w:hAnsi="Arial" w:cs="Arial"/>
                <w:color w:val="999999"/>
                <w:sz w:val="16"/>
                <w:szCs w:val="20"/>
              </w:rPr>
              <w:t>.</w:t>
            </w:r>
          </w:p>
          <w:p w14:paraId="158221C5" w14:textId="77777777" w:rsidR="00A82FE3" w:rsidRPr="00080EF2" w:rsidRDefault="00A82FE3" w:rsidP="00A82FE3">
            <w:pPr>
              <w:spacing w:before="80" w:after="0" w:line="288" w:lineRule="auto"/>
              <w:jc w:val="both"/>
              <w:rPr>
                <w:rFonts w:ascii="Arial" w:eastAsia="Times New Roman" w:hAnsi="Arial" w:cs="Arial"/>
                <w:b/>
                <w:sz w:val="16"/>
                <w:szCs w:val="16"/>
                <w:lang w:eastAsia="en-US"/>
              </w:rPr>
            </w:pPr>
            <w:r w:rsidRPr="00080EF2">
              <w:rPr>
                <w:rFonts w:ascii="Arial" w:eastAsia="Times New Roman" w:hAnsi="Arial" w:cs="Arial"/>
                <w:b/>
                <w:sz w:val="16"/>
                <w:szCs w:val="16"/>
                <w:lang w:eastAsia="en-US"/>
              </w:rPr>
              <w:t>Methodology and Definition of Contribution to Performance:</w:t>
            </w:r>
          </w:p>
          <w:p w14:paraId="3C5650A4" w14:textId="77777777" w:rsidR="00A82FE3" w:rsidRPr="00080EF2"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80EF2">
              <w:rPr>
                <w:rFonts w:ascii="Arial" w:eastAsia="Times New Roman" w:hAnsi="Arial" w:cs="Arial"/>
                <w:sz w:val="16"/>
                <w:szCs w:val="16"/>
                <w:lang w:eastAsia="en-US"/>
              </w:rPr>
              <w:t>Attribution by asset class is produced at the instrument level, with adjustments made based on risk estimates.</w:t>
            </w:r>
          </w:p>
          <w:p w14:paraId="566087C2" w14:textId="77777777" w:rsidR="00A82FE3" w:rsidRDefault="00A82FE3" w:rsidP="00A82FE3">
            <w:pPr>
              <w:pStyle w:val="NoSpacing"/>
            </w:pPr>
          </w:p>
          <w:p w14:paraId="5044F1B2" w14:textId="77777777" w:rsidR="00A82FE3" w:rsidRPr="00080EF2"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80EF2">
              <w:rPr>
                <w:rFonts w:ascii="Arial" w:eastAsia="Times New Roman" w:hAnsi="Arial" w:cs="Arial"/>
                <w:sz w:val="16"/>
                <w:szCs w:val="16"/>
                <w:lang w:eastAsia="en-US"/>
              </w:rPr>
              <w:t xml:space="preserve">The above </w:t>
            </w:r>
            <w:r>
              <w:rPr>
                <w:rFonts w:ascii="Arial" w:eastAsia="Times New Roman" w:hAnsi="Arial" w:cs="Arial"/>
                <w:sz w:val="16"/>
                <w:szCs w:val="16"/>
                <w:lang w:eastAsia="en-US"/>
              </w:rPr>
              <w:t>asset classes</w:t>
            </w:r>
            <w:r w:rsidRPr="00080EF2">
              <w:rPr>
                <w:rFonts w:ascii="Arial" w:eastAsia="Times New Roman" w:hAnsi="Arial" w:cs="Arial"/>
                <w:sz w:val="16"/>
                <w:szCs w:val="16"/>
                <w:lang w:eastAsia="en-US"/>
              </w:rPr>
              <w:t xml:space="preserve"> are categorised as follows:</w:t>
            </w:r>
          </w:p>
          <w:p w14:paraId="7FF919CB" w14:textId="77777777" w:rsidR="00A82FE3"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80EF2">
              <w:rPr>
                <w:rFonts w:ascii="Arial" w:eastAsia="Times New Roman" w:hAnsi="Arial" w:cs="Arial"/>
                <w:sz w:val="16"/>
                <w:szCs w:val="16"/>
                <w:lang w:eastAsia="en-US"/>
              </w:rPr>
              <w:t>“</w:t>
            </w:r>
            <w:r w:rsidRPr="00080EF2">
              <w:rPr>
                <w:rFonts w:ascii="Arial" w:eastAsia="Times New Roman" w:hAnsi="Arial" w:cs="Arial"/>
                <w:b/>
                <w:sz w:val="16"/>
                <w:szCs w:val="16"/>
                <w:lang w:eastAsia="en-US"/>
              </w:rPr>
              <w:t>Rates</w:t>
            </w:r>
            <w:r w:rsidRPr="00080EF2">
              <w:rPr>
                <w:rFonts w:ascii="Arial" w:eastAsia="Times New Roman" w:hAnsi="Arial" w:cs="Arial"/>
                <w:sz w:val="16"/>
                <w:szCs w:val="16"/>
                <w:lang w:eastAsia="en-US"/>
              </w:rPr>
              <w:t>”: interest rates markets</w:t>
            </w:r>
            <w:r w:rsidRPr="00080EF2">
              <w:rPr>
                <w:rFonts w:ascii="Arial" w:eastAsia="Times New Roman" w:hAnsi="Arial" w:cs="Arial"/>
                <w:sz w:val="16"/>
                <w:szCs w:val="16"/>
                <w:lang w:eastAsia="en-US"/>
              </w:rPr>
              <w:br/>
              <w:t>“</w:t>
            </w:r>
            <w:r w:rsidRPr="00080EF2">
              <w:rPr>
                <w:rFonts w:ascii="Arial" w:eastAsia="Times New Roman" w:hAnsi="Arial" w:cs="Arial"/>
                <w:b/>
                <w:sz w:val="16"/>
                <w:szCs w:val="16"/>
                <w:lang w:eastAsia="en-US"/>
              </w:rPr>
              <w:t>FX</w:t>
            </w:r>
            <w:r w:rsidRPr="00080EF2">
              <w:rPr>
                <w:rFonts w:ascii="Arial" w:eastAsia="Times New Roman" w:hAnsi="Arial" w:cs="Arial"/>
                <w:sz w:val="16"/>
                <w:szCs w:val="16"/>
                <w:lang w:eastAsia="en-US"/>
              </w:rPr>
              <w:t>”: FX forwards and options</w:t>
            </w:r>
            <w:r w:rsidRPr="00080EF2">
              <w:rPr>
                <w:rFonts w:ascii="Arial" w:eastAsia="Times New Roman" w:hAnsi="Arial" w:cs="Arial"/>
                <w:sz w:val="16"/>
                <w:szCs w:val="16"/>
                <w:lang w:eastAsia="en-US"/>
              </w:rPr>
              <w:br/>
              <w:t>“</w:t>
            </w:r>
            <w:r w:rsidRPr="00080EF2">
              <w:rPr>
                <w:rFonts w:ascii="Arial" w:eastAsia="Times New Roman" w:hAnsi="Arial" w:cs="Arial"/>
                <w:b/>
                <w:sz w:val="16"/>
                <w:szCs w:val="16"/>
                <w:lang w:eastAsia="en-US"/>
              </w:rPr>
              <w:t>Commodity</w:t>
            </w:r>
            <w:r w:rsidRPr="00080EF2">
              <w:rPr>
                <w:rFonts w:ascii="Arial" w:eastAsia="Times New Roman" w:hAnsi="Arial" w:cs="Arial"/>
                <w:sz w:val="16"/>
                <w:szCs w:val="16"/>
                <w:lang w:eastAsia="en-US"/>
              </w:rPr>
              <w:t>”: commodity futures and options</w:t>
            </w:r>
            <w:r w:rsidRPr="00080EF2">
              <w:rPr>
                <w:rFonts w:ascii="Arial" w:eastAsia="Times New Roman" w:hAnsi="Arial" w:cs="Arial"/>
                <w:sz w:val="16"/>
                <w:szCs w:val="16"/>
                <w:lang w:eastAsia="en-US"/>
              </w:rPr>
              <w:br/>
              <w:t>“</w:t>
            </w:r>
            <w:r w:rsidRPr="00080EF2">
              <w:rPr>
                <w:rFonts w:ascii="Arial" w:eastAsia="Times New Roman" w:hAnsi="Arial" w:cs="Arial"/>
                <w:b/>
                <w:sz w:val="16"/>
                <w:szCs w:val="16"/>
                <w:lang w:eastAsia="en-US"/>
              </w:rPr>
              <w:t>Credit</w:t>
            </w:r>
            <w:r w:rsidRPr="00080EF2">
              <w:rPr>
                <w:rFonts w:ascii="Arial" w:eastAsia="Times New Roman" w:hAnsi="Arial" w:cs="Arial"/>
                <w:sz w:val="16"/>
                <w:szCs w:val="16"/>
                <w:lang w:eastAsia="en-US"/>
              </w:rPr>
              <w:t>”: corporate and asset-backed indices, bonds and CDS</w:t>
            </w:r>
          </w:p>
          <w:p w14:paraId="125F82AD" w14:textId="77777777" w:rsidR="00A82FE3"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80EF2">
              <w:rPr>
                <w:rFonts w:ascii="Arial" w:eastAsia="Times New Roman" w:hAnsi="Arial" w:cs="Arial"/>
                <w:sz w:val="16"/>
                <w:szCs w:val="16"/>
                <w:lang w:eastAsia="en-US"/>
              </w:rPr>
              <w:t>“</w:t>
            </w:r>
            <w:r w:rsidRPr="00080EF2">
              <w:rPr>
                <w:rFonts w:ascii="Arial" w:eastAsia="Times New Roman" w:hAnsi="Arial" w:cs="Arial"/>
                <w:b/>
                <w:sz w:val="16"/>
                <w:szCs w:val="16"/>
                <w:lang w:eastAsia="en-US"/>
              </w:rPr>
              <w:t>Equity</w:t>
            </w:r>
            <w:r w:rsidRPr="00080EF2">
              <w:rPr>
                <w:rFonts w:ascii="Arial" w:eastAsia="Times New Roman" w:hAnsi="Arial" w:cs="Arial"/>
                <w:sz w:val="16"/>
                <w:szCs w:val="16"/>
                <w:lang w:eastAsia="en-US"/>
              </w:rPr>
              <w:t>”: equity markets including indices and other derivatives</w:t>
            </w:r>
          </w:p>
          <w:p w14:paraId="7524D8F9" w14:textId="5FF911E9" w:rsidR="00A82FE3" w:rsidRPr="00080EF2"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45D21">
              <w:rPr>
                <w:rFonts w:ascii="Arial" w:eastAsia="Times New Roman" w:hAnsi="Arial" w:cs="Arial"/>
                <w:sz w:val="16"/>
                <w:szCs w:val="16"/>
                <w:lang w:eastAsia="en-US"/>
              </w:rPr>
              <w:t>“</w:t>
            </w:r>
            <w:r w:rsidRPr="00F170B0">
              <w:rPr>
                <w:rFonts w:ascii="Arial" w:eastAsia="Times New Roman" w:hAnsi="Arial" w:cs="Arial"/>
                <w:b/>
                <w:sz w:val="16"/>
                <w:szCs w:val="16"/>
                <w:lang w:eastAsia="en-US"/>
              </w:rPr>
              <w:t>Discount Management</w:t>
            </w:r>
            <w:r w:rsidRPr="00045D21">
              <w:rPr>
                <w:rFonts w:ascii="Arial" w:eastAsia="Times New Roman" w:hAnsi="Arial" w:cs="Arial"/>
                <w:sz w:val="16"/>
                <w:szCs w:val="16"/>
                <w:lang w:eastAsia="en-US"/>
              </w:rPr>
              <w:t>”</w:t>
            </w:r>
            <w:r w:rsidRPr="00F170B0">
              <w:rPr>
                <w:rFonts w:ascii="Arial" w:eastAsia="Times New Roman" w:hAnsi="Arial" w:cs="Arial"/>
                <w:sz w:val="16"/>
                <w:szCs w:val="16"/>
                <w:lang w:eastAsia="en-US"/>
              </w:rPr>
              <w:t>: buyback activity for discount management purposes</w:t>
            </w:r>
            <w:r w:rsidR="00390E0C">
              <w:rPr>
                <w:rFonts w:ascii="Arial" w:eastAsia="Times New Roman" w:hAnsi="Arial" w:cs="Arial"/>
                <w:sz w:val="16"/>
                <w:szCs w:val="16"/>
                <w:lang w:eastAsia="en-US"/>
              </w:rPr>
              <w:t xml:space="preserve">. </w:t>
            </w:r>
          </w:p>
          <w:p w14:paraId="21A4B627" w14:textId="77777777" w:rsidR="00A82FE3" w:rsidRDefault="00A82FE3" w:rsidP="00A82FE3">
            <w:pPr>
              <w:pStyle w:val="NoSpacing"/>
            </w:pPr>
          </w:p>
          <w:p w14:paraId="46ECCD02" w14:textId="77777777" w:rsidR="00A82FE3" w:rsidRDefault="00A82FE3" w:rsidP="00A82FE3">
            <w:pPr>
              <w:spacing w:after="0" w:line="288" w:lineRule="auto"/>
              <w:jc w:val="both"/>
              <w:rPr>
                <w:rFonts w:ascii="Arial" w:hAnsi="Arial" w:cs="Arial"/>
                <w:b/>
                <w:color w:val="BC5E1E"/>
                <w:sz w:val="20"/>
                <w:szCs w:val="20"/>
              </w:rPr>
            </w:pPr>
            <w:r w:rsidRPr="00832053">
              <w:rPr>
                <w:rFonts w:ascii="Arial" w:hAnsi="Arial" w:cs="Arial"/>
                <w:b/>
                <w:color w:val="BC5E1E"/>
                <w:sz w:val="20"/>
                <w:szCs w:val="20"/>
              </w:rPr>
              <w:t>Performance by Strategy Group</w:t>
            </w:r>
            <w:r>
              <w:rPr>
                <w:rFonts w:ascii="Arial" w:hAnsi="Arial" w:cs="Arial"/>
                <w:b/>
                <w:color w:val="BC5E1E"/>
                <w:sz w:val="20"/>
                <w:szCs w:val="20"/>
              </w:rPr>
              <w:t xml:space="preserve"> </w:t>
            </w:r>
          </w:p>
          <w:p w14:paraId="0581B393" w14:textId="05E31E59" w:rsidR="00A82FE3" w:rsidRDefault="00A82FE3" w:rsidP="00A82FE3">
            <w:pPr>
              <w:spacing w:after="0" w:line="288" w:lineRule="auto"/>
              <w:jc w:val="both"/>
              <w:rPr>
                <w:rFonts w:ascii="Arial" w:hAnsi="Arial" w:cs="Arial"/>
                <w:b/>
                <w:color w:val="BC5E1E"/>
                <w:sz w:val="20"/>
                <w:szCs w:val="20"/>
              </w:rPr>
            </w:pPr>
            <w:r w:rsidRPr="00F170B0">
              <w:rPr>
                <w:rFonts w:ascii="Arial" w:hAnsi="Arial" w:cs="Arial"/>
                <w:b/>
                <w:color w:val="BC5E1E"/>
                <w:sz w:val="20"/>
                <w:szCs w:val="20"/>
              </w:rPr>
              <w:t>Monthly, quarterly and annual contribution (%) to the performance of BHM USD Shares (net of fees</w:t>
            </w:r>
            <w:r w:rsidR="006917B2">
              <w:rPr>
                <w:rFonts w:ascii="Arial" w:hAnsi="Arial" w:cs="Arial"/>
                <w:b/>
                <w:color w:val="BC5E1E"/>
                <w:sz w:val="20"/>
                <w:szCs w:val="20"/>
              </w:rPr>
              <w:t xml:space="preserve"> and exp</w:t>
            </w:r>
            <w:r w:rsidR="009341A1">
              <w:rPr>
                <w:rFonts w:ascii="Arial" w:hAnsi="Arial" w:cs="Arial"/>
                <w:b/>
                <w:color w:val="BC5E1E"/>
                <w:sz w:val="20"/>
                <w:szCs w:val="20"/>
              </w:rPr>
              <w:t xml:space="preserve">enses) by strategy group as at </w:t>
            </w:r>
            <w:r w:rsidR="00BB19FD">
              <w:rPr>
                <w:rFonts w:ascii="Arial" w:hAnsi="Arial" w:cs="Arial"/>
                <w:b/>
                <w:color w:val="BC5E1E"/>
                <w:sz w:val="20"/>
                <w:szCs w:val="20"/>
              </w:rPr>
              <w:t>31 March</w:t>
            </w:r>
            <w:r w:rsidR="006E30D1">
              <w:rPr>
                <w:rFonts w:ascii="Arial" w:hAnsi="Arial" w:cs="Arial"/>
                <w:b/>
                <w:color w:val="BC5E1E"/>
                <w:sz w:val="20"/>
                <w:szCs w:val="20"/>
              </w:rPr>
              <w:t xml:space="preserve"> 2017 </w:t>
            </w:r>
          </w:p>
          <w:tbl>
            <w:tblPr>
              <w:tblW w:w="8217" w:type="dxa"/>
              <w:tblLayout w:type="fixed"/>
              <w:tblCellMar>
                <w:top w:w="57" w:type="dxa"/>
                <w:left w:w="28" w:type="dxa"/>
                <w:right w:w="85" w:type="dxa"/>
              </w:tblCellMar>
              <w:tblLook w:val="04A0" w:firstRow="1" w:lastRow="0" w:firstColumn="1" w:lastColumn="0" w:noHBand="0" w:noVBand="1"/>
            </w:tblPr>
            <w:tblGrid>
              <w:gridCol w:w="1129"/>
              <w:gridCol w:w="616"/>
              <w:gridCol w:w="802"/>
              <w:gridCol w:w="606"/>
              <w:gridCol w:w="704"/>
              <w:gridCol w:w="704"/>
              <w:gridCol w:w="537"/>
              <w:gridCol w:w="567"/>
              <w:gridCol w:w="851"/>
              <w:gridCol w:w="1134"/>
              <w:gridCol w:w="567"/>
            </w:tblGrid>
            <w:tr w:rsidR="0056621B" w:rsidRPr="00F170B0" w14:paraId="32415590" w14:textId="77777777" w:rsidTr="00797479">
              <w:trPr>
                <w:trHeight w:val="212"/>
              </w:trPr>
              <w:tc>
                <w:tcPr>
                  <w:tcW w:w="1129"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5BD2CCD1" w14:textId="006A4E4D" w:rsidR="0056621B" w:rsidRPr="0023128C" w:rsidRDefault="0056621B" w:rsidP="00BB3FCB">
                  <w:pPr>
                    <w:spacing w:after="0"/>
                    <w:jc w:val="center"/>
                    <w:rPr>
                      <w:rFonts w:ascii="Arial" w:hAnsi="Arial" w:cs="Arial"/>
                      <w:b/>
                      <w:bCs/>
                      <w:color w:val="000000"/>
                      <w:sz w:val="13"/>
                      <w:szCs w:val="13"/>
                    </w:rPr>
                  </w:pPr>
                  <w:bookmarkStart w:id="8" w:name="RANGE!N10"/>
                  <w:r w:rsidRPr="0023128C">
                    <w:rPr>
                      <w:rFonts w:ascii="Arial" w:hAnsi="Arial" w:cs="Arial"/>
                      <w:b/>
                      <w:bCs/>
                      <w:color w:val="000000"/>
                      <w:sz w:val="13"/>
                      <w:szCs w:val="13"/>
                    </w:rPr>
                    <w:t> </w:t>
                  </w:r>
                  <w:bookmarkEnd w:id="8"/>
                  <w:r w:rsidR="006E30D1">
                    <w:rPr>
                      <w:rFonts w:ascii="Arial" w:hAnsi="Arial" w:cs="Arial"/>
                      <w:b/>
                      <w:bCs/>
                      <w:color w:val="000000"/>
                      <w:sz w:val="13"/>
                      <w:szCs w:val="13"/>
                    </w:rPr>
                    <w:t>2017</w:t>
                  </w:r>
                </w:p>
              </w:tc>
              <w:tc>
                <w:tcPr>
                  <w:tcW w:w="616" w:type="dxa"/>
                  <w:tcBorders>
                    <w:top w:val="single" w:sz="4" w:space="0" w:color="auto"/>
                    <w:left w:val="nil"/>
                    <w:bottom w:val="single" w:sz="4" w:space="0" w:color="auto"/>
                    <w:right w:val="single" w:sz="4" w:space="0" w:color="auto"/>
                  </w:tcBorders>
                  <w:shd w:val="clear" w:color="000000" w:fill="EFEFEF"/>
                  <w:noWrap/>
                  <w:vAlign w:val="center"/>
                  <w:hideMark/>
                </w:tcPr>
                <w:p w14:paraId="41085387"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Macro</w:t>
                  </w:r>
                </w:p>
              </w:tc>
              <w:tc>
                <w:tcPr>
                  <w:tcW w:w="802" w:type="dxa"/>
                  <w:tcBorders>
                    <w:top w:val="single" w:sz="4" w:space="0" w:color="auto"/>
                    <w:left w:val="nil"/>
                    <w:bottom w:val="single" w:sz="4" w:space="0" w:color="auto"/>
                    <w:right w:val="single" w:sz="4" w:space="0" w:color="auto"/>
                  </w:tcBorders>
                  <w:shd w:val="clear" w:color="000000" w:fill="EFEFEF"/>
                  <w:vAlign w:val="center"/>
                </w:tcPr>
                <w:p w14:paraId="77794791"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Systematic</w:t>
                  </w:r>
                </w:p>
              </w:tc>
              <w:tc>
                <w:tcPr>
                  <w:tcW w:w="606"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2BB8A9A"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Rates</w:t>
                  </w:r>
                </w:p>
              </w:tc>
              <w:tc>
                <w:tcPr>
                  <w:tcW w:w="704"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6FC0F243"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FX</w:t>
                  </w:r>
                </w:p>
              </w:tc>
              <w:tc>
                <w:tcPr>
                  <w:tcW w:w="704" w:type="dxa"/>
                  <w:tcBorders>
                    <w:top w:val="single" w:sz="4" w:space="0" w:color="auto"/>
                    <w:left w:val="single" w:sz="4" w:space="0" w:color="auto"/>
                    <w:bottom w:val="single" w:sz="4" w:space="0" w:color="auto"/>
                    <w:right w:val="single" w:sz="4" w:space="0" w:color="auto"/>
                  </w:tcBorders>
                  <w:shd w:val="clear" w:color="000000" w:fill="EFEFEF"/>
                  <w:vAlign w:val="center"/>
                </w:tcPr>
                <w:p w14:paraId="581AD6A6"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Equity</w:t>
                  </w:r>
                </w:p>
              </w:tc>
              <w:tc>
                <w:tcPr>
                  <w:tcW w:w="537" w:type="dxa"/>
                  <w:tcBorders>
                    <w:top w:val="single" w:sz="4" w:space="0" w:color="auto"/>
                    <w:left w:val="single" w:sz="4" w:space="0" w:color="auto"/>
                    <w:bottom w:val="single" w:sz="4" w:space="0" w:color="auto"/>
                    <w:right w:val="single" w:sz="4" w:space="0" w:color="auto"/>
                  </w:tcBorders>
                  <w:shd w:val="clear" w:color="000000" w:fill="EFEFEF"/>
                  <w:vAlign w:val="center"/>
                </w:tcPr>
                <w:p w14:paraId="18A974B3"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Credit</w:t>
                  </w:r>
                </w:p>
              </w:tc>
              <w:tc>
                <w:tcPr>
                  <w:tcW w:w="567" w:type="dxa"/>
                  <w:tcBorders>
                    <w:top w:val="single" w:sz="4" w:space="0" w:color="auto"/>
                    <w:left w:val="single" w:sz="4" w:space="0" w:color="auto"/>
                    <w:bottom w:val="single" w:sz="4" w:space="0" w:color="auto"/>
                    <w:right w:val="single" w:sz="4" w:space="0" w:color="auto"/>
                  </w:tcBorders>
                  <w:shd w:val="clear" w:color="000000" w:fill="EFEFEF"/>
                  <w:vAlign w:val="center"/>
                </w:tcPr>
                <w:p w14:paraId="4438188B" w14:textId="337D0195" w:rsidR="0056621B" w:rsidRPr="00F170B0" w:rsidRDefault="0056621B" w:rsidP="0056621B">
                  <w:pPr>
                    <w:spacing w:after="0"/>
                    <w:jc w:val="center"/>
                    <w:rPr>
                      <w:rFonts w:ascii="Arial" w:hAnsi="Arial" w:cs="Arial"/>
                      <w:b/>
                      <w:bCs/>
                      <w:color w:val="000000"/>
                      <w:sz w:val="13"/>
                      <w:szCs w:val="13"/>
                    </w:rPr>
                  </w:pPr>
                  <w:r>
                    <w:rPr>
                      <w:rFonts w:ascii="Arial" w:hAnsi="Arial" w:cs="Arial"/>
                      <w:b/>
                      <w:bCs/>
                      <w:color w:val="000000"/>
                      <w:sz w:val="13"/>
                      <w:szCs w:val="13"/>
                    </w:rPr>
                    <w:t>EMG</w:t>
                  </w:r>
                </w:p>
              </w:tc>
              <w:tc>
                <w:tcPr>
                  <w:tcW w:w="851"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5C8B2BF4"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Commodity</w:t>
                  </w:r>
                </w:p>
              </w:tc>
              <w:tc>
                <w:tcPr>
                  <w:tcW w:w="1134"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622212FE" w14:textId="78826F48" w:rsidR="0056621B" w:rsidRPr="00F170B0" w:rsidRDefault="0056621B" w:rsidP="00CE5D32">
                  <w:pPr>
                    <w:spacing w:after="0"/>
                    <w:jc w:val="center"/>
                    <w:rPr>
                      <w:rFonts w:ascii="Arial" w:hAnsi="Arial" w:cs="Arial"/>
                      <w:b/>
                      <w:bCs/>
                      <w:color w:val="000000"/>
                      <w:sz w:val="13"/>
                      <w:szCs w:val="13"/>
                    </w:rPr>
                  </w:pPr>
                  <w:r w:rsidRPr="00F170B0">
                    <w:rPr>
                      <w:rFonts w:ascii="Arial" w:hAnsi="Arial" w:cs="Arial"/>
                      <w:b/>
                      <w:bCs/>
                      <w:color w:val="000000"/>
                      <w:sz w:val="13"/>
                      <w:szCs w:val="13"/>
                    </w:rPr>
                    <w:t>Discount Management</w:t>
                  </w:r>
                </w:p>
              </w:tc>
              <w:tc>
                <w:tcPr>
                  <w:tcW w:w="567"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503F94EE" w14:textId="77777777" w:rsidR="0056621B" w:rsidRPr="0023128C" w:rsidRDefault="0056621B" w:rsidP="00BB3FCB">
                  <w:pPr>
                    <w:spacing w:after="0"/>
                    <w:jc w:val="center"/>
                    <w:rPr>
                      <w:rFonts w:ascii="Arial" w:hAnsi="Arial" w:cs="Arial"/>
                      <w:b/>
                      <w:bCs/>
                      <w:color w:val="000000"/>
                      <w:sz w:val="13"/>
                      <w:szCs w:val="13"/>
                    </w:rPr>
                  </w:pPr>
                  <w:r w:rsidRPr="0023128C">
                    <w:rPr>
                      <w:rFonts w:ascii="Arial" w:hAnsi="Arial" w:cs="Arial"/>
                      <w:b/>
                      <w:bCs/>
                      <w:color w:val="000000"/>
                      <w:sz w:val="13"/>
                      <w:szCs w:val="13"/>
                    </w:rPr>
                    <w:t>Total</w:t>
                  </w:r>
                </w:p>
              </w:tc>
            </w:tr>
            <w:tr w:rsidR="00FB46B7" w:rsidRPr="005E0883" w14:paraId="39F8A79D" w14:textId="77777777" w:rsidTr="00797479">
              <w:trPr>
                <w:trHeight w:val="212"/>
              </w:trPr>
              <w:tc>
                <w:tcPr>
                  <w:tcW w:w="1129"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1E03B4A4" w14:textId="1F6E3E5F" w:rsidR="00FB46B7" w:rsidRPr="00D0748E" w:rsidRDefault="00FB46B7" w:rsidP="00201BC8">
                  <w:pPr>
                    <w:spacing w:after="0" w:line="240" w:lineRule="auto"/>
                    <w:ind w:right="1"/>
                    <w:jc w:val="center"/>
                    <w:rPr>
                      <w:rFonts w:ascii="Arial" w:hAnsi="Arial" w:cs="Arial"/>
                      <w:b/>
                      <w:sz w:val="13"/>
                      <w:szCs w:val="13"/>
                    </w:rPr>
                  </w:pPr>
                  <w:r>
                    <w:rPr>
                      <w:rFonts w:ascii="Arial" w:hAnsi="Arial" w:cs="Arial"/>
                      <w:b/>
                      <w:sz w:val="13"/>
                      <w:szCs w:val="13"/>
                    </w:rPr>
                    <w:t>March 2017</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5ABF5" w14:textId="4D0B4673"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-2.79</w:t>
                  </w:r>
                </w:p>
              </w:tc>
              <w:tc>
                <w:tcPr>
                  <w:tcW w:w="802" w:type="dxa"/>
                  <w:tcBorders>
                    <w:top w:val="single" w:sz="4" w:space="0" w:color="auto"/>
                    <w:left w:val="single" w:sz="4" w:space="0" w:color="auto"/>
                    <w:bottom w:val="single" w:sz="4" w:space="0" w:color="auto"/>
                    <w:right w:val="single" w:sz="4" w:space="0" w:color="auto"/>
                  </w:tcBorders>
                  <w:vAlign w:val="bottom"/>
                </w:tcPr>
                <w:p w14:paraId="191293B6" w14:textId="78812181"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-0.02</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963B3" w14:textId="53A50DED"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-0.26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2C385" w14:textId="63F76466"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-0.07</w:t>
                  </w:r>
                </w:p>
              </w:tc>
              <w:tc>
                <w:tcPr>
                  <w:tcW w:w="704" w:type="dxa"/>
                  <w:tcBorders>
                    <w:top w:val="single" w:sz="4" w:space="0" w:color="auto"/>
                    <w:left w:val="single" w:sz="4" w:space="0" w:color="auto"/>
                    <w:bottom w:val="single" w:sz="4" w:space="0" w:color="auto"/>
                    <w:right w:val="single" w:sz="4" w:space="0" w:color="auto"/>
                  </w:tcBorders>
                  <w:vAlign w:val="bottom"/>
                </w:tcPr>
                <w:p w14:paraId="6583C6B7" w14:textId="64FA020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37" w:type="dxa"/>
                  <w:tcBorders>
                    <w:top w:val="single" w:sz="4" w:space="0" w:color="auto"/>
                    <w:left w:val="single" w:sz="4" w:space="0" w:color="auto"/>
                    <w:bottom w:val="single" w:sz="4" w:space="0" w:color="auto"/>
                    <w:right w:val="single" w:sz="4" w:space="0" w:color="auto"/>
                  </w:tcBorders>
                  <w:vAlign w:val="bottom"/>
                </w:tcPr>
                <w:p w14:paraId="0B6B4EFF" w14:textId="1F777F28"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0.15</w:t>
                  </w:r>
                </w:p>
              </w:tc>
              <w:tc>
                <w:tcPr>
                  <w:tcW w:w="567" w:type="dxa"/>
                  <w:tcBorders>
                    <w:top w:val="single" w:sz="4" w:space="0" w:color="auto"/>
                    <w:left w:val="single" w:sz="4" w:space="0" w:color="auto"/>
                    <w:bottom w:val="single" w:sz="4" w:space="0" w:color="auto"/>
                    <w:right w:val="single" w:sz="4" w:space="0" w:color="auto"/>
                  </w:tcBorders>
                  <w:vAlign w:val="bottom"/>
                </w:tcPr>
                <w:p w14:paraId="2EC2516C" w14:textId="00DDF9BA"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A6C55" w14:textId="403BE1D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AD963" w14:textId="5E6BD60A"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28302" w14:textId="024B91A5"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-2.84</w:t>
                  </w:r>
                </w:p>
              </w:tc>
            </w:tr>
            <w:tr w:rsidR="00FB46B7" w:rsidRPr="005E0883" w14:paraId="45A62628" w14:textId="77777777" w:rsidTr="00D0748E">
              <w:trPr>
                <w:trHeight w:val="212"/>
              </w:trPr>
              <w:tc>
                <w:tcPr>
                  <w:tcW w:w="1129" w:type="dxa"/>
                  <w:tcBorders>
                    <w:top w:val="double" w:sz="4" w:space="0" w:color="auto"/>
                    <w:left w:val="single" w:sz="4" w:space="0" w:color="auto"/>
                    <w:bottom w:val="single" w:sz="4" w:space="0" w:color="auto"/>
                    <w:right w:val="single" w:sz="4" w:space="0" w:color="auto"/>
                  </w:tcBorders>
                  <w:shd w:val="clear" w:color="000000" w:fill="EFEFEF"/>
                  <w:noWrap/>
                  <w:vAlign w:val="center"/>
                  <w:hideMark/>
                </w:tcPr>
                <w:p w14:paraId="277FC6B2" w14:textId="0EB9FF6D" w:rsidR="00FB46B7" w:rsidRPr="00D0748E" w:rsidRDefault="00FB46B7" w:rsidP="005E0883">
                  <w:pPr>
                    <w:spacing w:after="0" w:line="240" w:lineRule="auto"/>
                    <w:ind w:right="1"/>
                    <w:jc w:val="center"/>
                    <w:rPr>
                      <w:rFonts w:ascii="Arial" w:hAnsi="Arial" w:cs="Arial"/>
                      <w:b/>
                      <w:sz w:val="13"/>
                      <w:szCs w:val="13"/>
                    </w:rPr>
                  </w:pPr>
                  <w:r>
                    <w:rPr>
                      <w:rFonts w:ascii="Arial" w:hAnsi="Arial" w:cs="Arial"/>
                      <w:b/>
                      <w:sz w:val="13"/>
                      <w:szCs w:val="13"/>
                    </w:rPr>
                    <w:t>QTD</w:t>
                  </w:r>
                  <w:r w:rsidRPr="00D0748E">
                    <w:rPr>
                      <w:rFonts w:ascii="Arial" w:hAnsi="Arial" w:cs="Arial"/>
                      <w:b/>
                      <w:sz w:val="13"/>
                      <w:szCs w:val="13"/>
                    </w:rPr>
                    <w:t xml:space="preserve"> 201</w:t>
                  </w:r>
                  <w:r>
                    <w:rPr>
                      <w:rFonts w:ascii="Arial" w:hAnsi="Arial" w:cs="Arial"/>
                      <w:b/>
                      <w:sz w:val="13"/>
                      <w:szCs w:val="13"/>
                    </w:rPr>
                    <w:t>7</w:t>
                  </w:r>
                </w:p>
              </w:tc>
              <w:tc>
                <w:tcPr>
                  <w:tcW w:w="616" w:type="dxa"/>
                  <w:tcBorders>
                    <w:top w:val="double" w:sz="4" w:space="0" w:color="auto"/>
                    <w:left w:val="single" w:sz="4" w:space="0" w:color="auto"/>
                    <w:bottom w:val="single" w:sz="4" w:space="0" w:color="auto"/>
                    <w:right w:val="single" w:sz="4" w:space="0" w:color="auto"/>
                  </w:tcBorders>
                  <w:shd w:val="clear" w:color="auto" w:fill="auto"/>
                  <w:noWrap/>
                  <w:vAlign w:val="bottom"/>
                </w:tcPr>
                <w:p w14:paraId="6BF66D4F" w14:textId="4C790A38"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-2.29</w:t>
                  </w:r>
                </w:p>
              </w:tc>
              <w:tc>
                <w:tcPr>
                  <w:tcW w:w="802" w:type="dxa"/>
                  <w:tcBorders>
                    <w:top w:val="double" w:sz="4" w:space="0" w:color="auto"/>
                    <w:left w:val="single" w:sz="4" w:space="0" w:color="auto"/>
                    <w:bottom w:val="single" w:sz="4" w:space="0" w:color="auto"/>
                    <w:right w:val="single" w:sz="4" w:space="0" w:color="auto"/>
                  </w:tcBorders>
                  <w:vAlign w:val="bottom"/>
                </w:tcPr>
                <w:p w14:paraId="67CC56F3" w14:textId="746D73A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-0.03</w:t>
                  </w:r>
                </w:p>
              </w:tc>
              <w:tc>
                <w:tcPr>
                  <w:tcW w:w="606" w:type="dxa"/>
                  <w:tcBorders>
                    <w:top w:val="double" w:sz="4" w:space="0" w:color="auto"/>
                    <w:left w:val="single" w:sz="4" w:space="0" w:color="auto"/>
                    <w:bottom w:val="single" w:sz="4" w:space="0" w:color="auto"/>
                    <w:right w:val="single" w:sz="4" w:space="0" w:color="auto"/>
                  </w:tcBorders>
                  <w:shd w:val="clear" w:color="auto" w:fill="auto"/>
                  <w:noWrap/>
                  <w:vAlign w:val="bottom"/>
                </w:tcPr>
                <w:p w14:paraId="25308DA8" w14:textId="04FCE0A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-0.18</w:t>
                  </w:r>
                </w:p>
              </w:tc>
              <w:tc>
                <w:tcPr>
                  <w:tcW w:w="70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52B736A7" w14:textId="2FE0C214"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-0.51</w:t>
                  </w:r>
                </w:p>
              </w:tc>
              <w:tc>
                <w:tcPr>
                  <w:tcW w:w="704" w:type="dxa"/>
                  <w:tcBorders>
                    <w:top w:val="double" w:sz="4" w:space="0" w:color="auto"/>
                    <w:left w:val="single" w:sz="4" w:space="0" w:color="auto"/>
                    <w:bottom w:val="single" w:sz="4" w:space="0" w:color="auto"/>
                    <w:right w:val="single" w:sz="4" w:space="0" w:color="auto"/>
                  </w:tcBorders>
                  <w:vAlign w:val="bottom"/>
                </w:tcPr>
                <w:p w14:paraId="59B88F97" w14:textId="0C1A62BF"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37" w:type="dxa"/>
                  <w:tcBorders>
                    <w:top w:val="double" w:sz="4" w:space="0" w:color="auto"/>
                    <w:left w:val="single" w:sz="4" w:space="0" w:color="auto"/>
                    <w:bottom w:val="single" w:sz="4" w:space="0" w:color="auto"/>
                    <w:right w:val="single" w:sz="4" w:space="0" w:color="auto"/>
                  </w:tcBorders>
                  <w:vAlign w:val="bottom"/>
                </w:tcPr>
                <w:p w14:paraId="1869756A" w14:textId="4655EEDB"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0.35</w:t>
                  </w:r>
                </w:p>
              </w:tc>
              <w:tc>
                <w:tcPr>
                  <w:tcW w:w="567" w:type="dxa"/>
                  <w:tcBorders>
                    <w:top w:val="double" w:sz="4" w:space="0" w:color="auto"/>
                    <w:left w:val="single" w:sz="4" w:space="0" w:color="auto"/>
                    <w:bottom w:val="single" w:sz="4" w:space="0" w:color="auto"/>
                    <w:right w:val="single" w:sz="4" w:space="0" w:color="auto"/>
                  </w:tcBorders>
                  <w:vAlign w:val="bottom"/>
                </w:tcPr>
                <w:p w14:paraId="69A8970A" w14:textId="5EC20A98"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0.23</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6BAB260" w14:textId="6C725179"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113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4359B4F6" w14:textId="69FF36F1"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bottom"/>
                </w:tcPr>
                <w:p w14:paraId="63802206" w14:textId="57C7D625"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-2.44</w:t>
                  </w:r>
                </w:p>
              </w:tc>
            </w:tr>
            <w:tr w:rsidR="00FB46B7" w:rsidRPr="005E0883" w14:paraId="4F4FFBDC" w14:textId="77777777" w:rsidTr="00D0748E">
              <w:trPr>
                <w:trHeight w:val="212"/>
              </w:trPr>
              <w:tc>
                <w:tcPr>
                  <w:tcW w:w="1129" w:type="dxa"/>
                  <w:tcBorders>
                    <w:top w:val="double" w:sz="4" w:space="0" w:color="auto"/>
                    <w:left w:val="single" w:sz="4" w:space="0" w:color="auto"/>
                    <w:bottom w:val="single" w:sz="4" w:space="0" w:color="auto"/>
                    <w:right w:val="single" w:sz="4" w:space="0" w:color="auto"/>
                  </w:tcBorders>
                  <w:shd w:val="clear" w:color="000000" w:fill="EFEFEF"/>
                  <w:noWrap/>
                  <w:vAlign w:val="center"/>
                  <w:hideMark/>
                </w:tcPr>
                <w:p w14:paraId="11EBDC15" w14:textId="25A809C6" w:rsidR="00FB46B7" w:rsidRPr="00D0748E" w:rsidRDefault="00FB46B7" w:rsidP="005E0883">
                  <w:pPr>
                    <w:spacing w:after="0" w:line="240" w:lineRule="auto"/>
                    <w:ind w:right="1"/>
                    <w:jc w:val="center"/>
                    <w:rPr>
                      <w:rFonts w:ascii="Arial" w:hAnsi="Arial" w:cs="Arial"/>
                      <w:b/>
                      <w:sz w:val="13"/>
                      <w:szCs w:val="13"/>
                    </w:rPr>
                  </w:pPr>
                  <w:r>
                    <w:rPr>
                      <w:rFonts w:ascii="Arial" w:hAnsi="Arial" w:cs="Arial"/>
                      <w:b/>
                      <w:sz w:val="13"/>
                      <w:szCs w:val="13"/>
                    </w:rPr>
                    <w:t>YTD 2017</w:t>
                  </w:r>
                </w:p>
              </w:tc>
              <w:tc>
                <w:tcPr>
                  <w:tcW w:w="616" w:type="dxa"/>
                  <w:tcBorders>
                    <w:top w:val="double" w:sz="4" w:space="0" w:color="auto"/>
                    <w:left w:val="single" w:sz="4" w:space="0" w:color="auto"/>
                    <w:bottom w:val="single" w:sz="4" w:space="0" w:color="auto"/>
                    <w:right w:val="single" w:sz="4" w:space="0" w:color="auto"/>
                  </w:tcBorders>
                  <w:shd w:val="clear" w:color="auto" w:fill="auto"/>
                  <w:noWrap/>
                  <w:vAlign w:val="bottom"/>
                </w:tcPr>
                <w:p w14:paraId="2066C482" w14:textId="4E6F2760"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-2.29</w:t>
                  </w:r>
                </w:p>
              </w:tc>
              <w:tc>
                <w:tcPr>
                  <w:tcW w:w="802" w:type="dxa"/>
                  <w:tcBorders>
                    <w:top w:val="double" w:sz="4" w:space="0" w:color="auto"/>
                    <w:left w:val="single" w:sz="4" w:space="0" w:color="auto"/>
                    <w:bottom w:val="single" w:sz="4" w:space="0" w:color="auto"/>
                    <w:right w:val="single" w:sz="4" w:space="0" w:color="auto"/>
                  </w:tcBorders>
                  <w:vAlign w:val="bottom"/>
                </w:tcPr>
                <w:p w14:paraId="218D6F84" w14:textId="3C6A7023"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-0.03</w:t>
                  </w:r>
                </w:p>
              </w:tc>
              <w:tc>
                <w:tcPr>
                  <w:tcW w:w="606" w:type="dxa"/>
                  <w:tcBorders>
                    <w:top w:val="double" w:sz="4" w:space="0" w:color="auto"/>
                    <w:left w:val="single" w:sz="4" w:space="0" w:color="auto"/>
                    <w:bottom w:val="single" w:sz="4" w:space="0" w:color="auto"/>
                    <w:right w:val="single" w:sz="4" w:space="0" w:color="auto"/>
                  </w:tcBorders>
                  <w:shd w:val="clear" w:color="auto" w:fill="auto"/>
                  <w:noWrap/>
                  <w:vAlign w:val="bottom"/>
                </w:tcPr>
                <w:p w14:paraId="49FBEEF3" w14:textId="33504F3A"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-0.18</w:t>
                  </w:r>
                </w:p>
              </w:tc>
              <w:tc>
                <w:tcPr>
                  <w:tcW w:w="70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610AAB81" w14:textId="2784407A"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-0.51</w:t>
                  </w:r>
                </w:p>
              </w:tc>
              <w:tc>
                <w:tcPr>
                  <w:tcW w:w="704" w:type="dxa"/>
                  <w:tcBorders>
                    <w:top w:val="double" w:sz="4" w:space="0" w:color="auto"/>
                    <w:left w:val="single" w:sz="4" w:space="0" w:color="auto"/>
                    <w:bottom w:val="single" w:sz="4" w:space="0" w:color="auto"/>
                    <w:right w:val="single" w:sz="4" w:space="0" w:color="auto"/>
                  </w:tcBorders>
                  <w:vAlign w:val="bottom"/>
                </w:tcPr>
                <w:p w14:paraId="71625BC9" w14:textId="7BE9AE91"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37" w:type="dxa"/>
                  <w:tcBorders>
                    <w:top w:val="double" w:sz="4" w:space="0" w:color="auto"/>
                    <w:left w:val="single" w:sz="4" w:space="0" w:color="auto"/>
                    <w:bottom w:val="single" w:sz="4" w:space="0" w:color="auto"/>
                    <w:right w:val="single" w:sz="4" w:space="0" w:color="auto"/>
                  </w:tcBorders>
                  <w:vAlign w:val="bottom"/>
                </w:tcPr>
                <w:p w14:paraId="65682BBF" w14:textId="69B932C7"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0.35</w:t>
                  </w:r>
                </w:p>
              </w:tc>
              <w:tc>
                <w:tcPr>
                  <w:tcW w:w="567" w:type="dxa"/>
                  <w:tcBorders>
                    <w:top w:val="double" w:sz="4" w:space="0" w:color="auto"/>
                    <w:left w:val="single" w:sz="4" w:space="0" w:color="auto"/>
                    <w:bottom w:val="single" w:sz="4" w:space="0" w:color="auto"/>
                    <w:right w:val="single" w:sz="4" w:space="0" w:color="auto"/>
                  </w:tcBorders>
                  <w:vAlign w:val="bottom"/>
                </w:tcPr>
                <w:p w14:paraId="6ADBB050" w14:textId="551D41A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0.23</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bottom"/>
                </w:tcPr>
                <w:p w14:paraId="4134463C" w14:textId="052102FB"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113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D775407" w14:textId="7EEB984F"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bottom"/>
                </w:tcPr>
                <w:p w14:paraId="35DF370F" w14:textId="7054B277"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-2.44</w:t>
                  </w:r>
                </w:p>
              </w:tc>
            </w:tr>
          </w:tbl>
          <w:p w14:paraId="623A449E" w14:textId="76BF6B51" w:rsidR="00A82FE3" w:rsidRPr="0045614A" w:rsidRDefault="00A82FE3" w:rsidP="0045614A">
            <w:pPr>
              <w:spacing w:before="80" w:after="0" w:line="288" w:lineRule="auto"/>
              <w:jc w:val="both"/>
              <w:rPr>
                <w:rFonts w:ascii="Arial" w:hAnsi="Arial" w:cs="Arial"/>
                <w:color w:val="999999"/>
                <w:sz w:val="16"/>
                <w:szCs w:val="20"/>
              </w:rPr>
            </w:pPr>
            <w:r w:rsidRPr="00F170B0">
              <w:rPr>
                <w:rFonts w:ascii="Arial" w:hAnsi="Arial" w:cs="Arial"/>
                <w:color w:val="999999"/>
                <w:sz w:val="16"/>
                <w:szCs w:val="20"/>
              </w:rPr>
              <w:t xml:space="preserve">PAST PERFORMANCE IS NOT INDICATIVE OF FUTURE RESULTS. </w:t>
            </w:r>
          </w:p>
          <w:p w14:paraId="70674EF1" w14:textId="77777777" w:rsidR="00A82FE3" w:rsidRDefault="00A82FE3" w:rsidP="00A82FE3">
            <w:pPr>
              <w:pStyle w:val="NoSpacing"/>
            </w:pPr>
          </w:p>
          <w:p w14:paraId="464C62D2"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b/>
                <w:sz w:val="16"/>
                <w:szCs w:val="16"/>
                <w:lang w:eastAsia="en-US"/>
              </w:rPr>
            </w:pPr>
            <w:r w:rsidRPr="00F170B0">
              <w:rPr>
                <w:rFonts w:ascii="Arial" w:eastAsia="Times New Roman" w:hAnsi="Arial" w:cs="Arial"/>
                <w:b/>
                <w:sz w:val="16"/>
                <w:szCs w:val="16"/>
                <w:lang w:eastAsia="en-US"/>
              </w:rPr>
              <w:t>Method</w:t>
            </w:r>
            <w:r>
              <w:rPr>
                <w:rFonts w:ascii="Arial" w:eastAsia="Times New Roman" w:hAnsi="Arial" w:cs="Arial"/>
                <w:b/>
                <w:sz w:val="16"/>
                <w:szCs w:val="16"/>
                <w:lang w:eastAsia="en-US"/>
              </w:rPr>
              <w:t xml:space="preserve">ology and Definition of </w:t>
            </w:r>
            <w:r w:rsidRPr="00F170B0">
              <w:rPr>
                <w:rFonts w:ascii="Arial" w:eastAsia="Times New Roman" w:hAnsi="Arial" w:cs="Arial"/>
                <w:b/>
                <w:sz w:val="16"/>
                <w:szCs w:val="16"/>
                <w:lang w:eastAsia="en-US"/>
              </w:rPr>
              <w:t>Contribution to Performance:</w:t>
            </w:r>
          </w:p>
          <w:p w14:paraId="7B77E216" w14:textId="4C8FB515" w:rsidR="00A82FE3" w:rsidRPr="00F170B0" w:rsidRDefault="00A82FE3" w:rsidP="00A82FE3">
            <w:pPr>
              <w:tabs>
                <w:tab w:val="left" w:pos="2880"/>
                <w:tab w:val="left" w:pos="3240"/>
                <w:tab w:val="left" w:pos="3542"/>
              </w:tabs>
              <w:spacing w:before="60" w:after="0" w:line="240" w:lineRule="auto"/>
              <w:jc w:val="both"/>
              <w:rPr>
                <w:rFonts w:ascii="Arial" w:eastAsia="Times New Roman" w:hAnsi="Arial" w:cs="Arial"/>
                <w:sz w:val="16"/>
                <w:szCs w:val="16"/>
                <w:lang w:eastAsia="en-US"/>
              </w:rPr>
            </w:pPr>
            <w:r>
              <w:rPr>
                <w:rFonts w:ascii="Arial" w:eastAsia="Times New Roman" w:hAnsi="Arial" w:cs="Arial"/>
                <w:sz w:val="16"/>
                <w:szCs w:val="16"/>
                <w:lang w:eastAsia="en-US"/>
              </w:rPr>
              <w:t>Strategy Group a</w:t>
            </w:r>
            <w:r w:rsidRPr="00F170B0">
              <w:rPr>
                <w:rFonts w:ascii="Arial" w:eastAsia="Times New Roman" w:hAnsi="Arial" w:cs="Arial"/>
                <w:sz w:val="16"/>
                <w:szCs w:val="16"/>
                <w:lang w:eastAsia="en-US"/>
              </w:rPr>
              <w:t>ttribution is approximate and has been derived by allocating each trader book in the Fund to a single category. In cases where a trader book has activity in more than one category, the most rele</w:t>
            </w:r>
            <w:r w:rsidR="00CD4BD4">
              <w:rPr>
                <w:rFonts w:ascii="Arial" w:eastAsia="Times New Roman" w:hAnsi="Arial" w:cs="Arial"/>
                <w:sz w:val="16"/>
                <w:szCs w:val="16"/>
                <w:lang w:eastAsia="en-US"/>
              </w:rPr>
              <w:t xml:space="preserve">vant category has been selected. </w:t>
            </w:r>
          </w:p>
          <w:p w14:paraId="412950FD" w14:textId="77777777" w:rsidR="00A82FE3" w:rsidRPr="00F170B0" w:rsidRDefault="00A82FE3" w:rsidP="00A82FE3">
            <w:pPr>
              <w:pStyle w:val="NoSpacing"/>
            </w:pPr>
          </w:p>
          <w:p w14:paraId="6914E26F"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The above strategies are categorised as follows:</w:t>
            </w:r>
          </w:p>
          <w:p w14:paraId="613FA513" w14:textId="77777777" w:rsidR="00A82FE3"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Macro</w:t>
            </w:r>
            <w:r w:rsidRPr="00F170B0">
              <w:rPr>
                <w:rFonts w:ascii="Arial" w:eastAsia="Times New Roman" w:hAnsi="Arial" w:cs="Arial"/>
                <w:sz w:val="16"/>
                <w:szCs w:val="16"/>
                <w:lang w:eastAsia="en-US"/>
              </w:rPr>
              <w:t>”: multi-asset global markets, mainly directional (for the Fund, the majority of risk in this category is in rates)</w:t>
            </w:r>
          </w:p>
          <w:p w14:paraId="61ACA131"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Systematic</w:t>
            </w:r>
            <w:r w:rsidRPr="00F170B0">
              <w:rPr>
                <w:rFonts w:ascii="Arial" w:eastAsia="Times New Roman" w:hAnsi="Arial" w:cs="Arial"/>
                <w:sz w:val="16"/>
                <w:szCs w:val="16"/>
                <w:lang w:eastAsia="en-US"/>
              </w:rPr>
              <w:t>”: rules-based futures trading</w:t>
            </w:r>
          </w:p>
          <w:p w14:paraId="36B0C618"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Rates</w:t>
            </w:r>
            <w:r w:rsidRPr="00F170B0">
              <w:rPr>
                <w:rFonts w:ascii="Arial" w:eastAsia="Times New Roman" w:hAnsi="Arial" w:cs="Arial"/>
                <w:sz w:val="16"/>
                <w:szCs w:val="16"/>
                <w:lang w:eastAsia="en-US"/>
              </w:rPr>
              <w:t>”: developed interest rates markets</w:t>
            </w:r>
          </w:p>
          <w:p w14:paraId="36AC52C6" w14:textId="77777777" w:rsidR="00A82FE3"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FX</w:t>
            </w:r>
            <w:r w:rsidRPr="00F170B0">
              <w:rPr>
                <w:rFonts w:ascii="Arial" w:eastAsia="Times New Roman" w:hAnsi="Arial" w:cs="Arial"/>
                <w:sz w:val="16"/>
                <w:szCs w:val="16"/>
                <w:lang w:eastAsia="en-US"/>
              </w:rPr>
              <w:t>”: global FX forwards and options</w:t>
            </w:r>
          </w:p>
          <w:p w14:paraId="0BF0376C"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Equity</w:t>
            </w:r>
            <w:r w:rsidRPr="00F170B0">
              <w:rPr>
                <w:rFonts w:ascii="Arial" w:eastAsia="Times New Roman" w:hAnsi="Arial" w:cs="Arial"/>
                <w:sz w:val="16"/>
                <w:szCs w:val="16"/>
                <w:lang w:eastAsia="en-US"/>
              </w:rPr>
              <w:t>”: global equity markets including indices and other derivatives</w:t>
            </w:r>
          </w:p>
          <w:p w14:paraId="198AD446"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Credit</w:t>
            </w:r>
            <w:r w:rsidRPr="00F170B0">
              <w:rPr>
                <w:rFonts w:ascii="Arial" w:eastAsia="Times New Roman" w:hAnsi="Arial" w:cs="Arial"/>
                <w:sz w:val="16"/>
                <w:szCs w:val="16"/>
                <w:lang w:eastAsia="en-US"/>
              </w:rPr>
              <w:t>”: corporate and asset-backed indices, bonds and CDS</w:t>
            </w:r>
          </w:p>
          <w:p w14:paraId="7DFE3115"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EMG</w:t>
            </w:r>
            <w:r w:rsidRPr="00F170B0">
              <w:rPr>
                <w:rFonts w:ascii="Arial" w:eastAsia="Times New Roman" w:hAnsi="Arial" w:cs="Arial"/>
                <w:sz w:val="16"/>
                <w:szCs w:val="16"/>
                <w:lang w:eastAsia="en-US"/>
              </w:rPr>
              <w:t>”: global emerging markets</w:t>
            </w:r>
          </w:p>
          <w:p w14:paraId="1BADE08D"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Commodity</w:t>
            </w:r>
            <w:r w:rsidRPr="00F170B0">
              <w:rPr>
                <w:rFonts w:ascii="Arial" w:eastAsia="Times New Roman" w:hAnsi="Arial" w:cs="Arial"/>
                <w:sz w:val="16"/>
                <w:szCs w:val="16"/>
                <w:lang w:eastAsia="en-US"/>
              </w:rPr>
              <w:t>”: liquid commodity futures and options</w:t>
            </w:r>
          </w:p>
          <w:p w14:paraId="0FDE9462" w14:textId="7FA9BCD3" w:rsidR="00A82FE3" w:rsidRPr="007A4D7C" w:rsidRDefault="00A82FE3">
            <w:pPr>
              <w:tabs>
                <w:tab w:val="left" w:pos="2880"/>
                <w:tab w:val="left" w:pos="3240"/>
                <w:tab w:val="left" w:pos="3542"/>
              </w:tabs>
              <w:spacing w:after="0" w:line="240" w:lineRule="auto"/>
              <w:rPr>
                <w:color w:val="999999"/>
                <w:sz w:val="16"/>
              </w:rPr>
            </w:pPr>
            <w:r w:rsidRPr="00CA2C47">
              <w:rPr>
                <w:rFonts w:ascii="Arial" w:eastAsia="Times New Roman" w:hAnsi="Arial" w:cs="Arial"/>
                <w:sz w:val="16"/>
                <w:szCs w:val="16"/>
                <w:lang w:eastAsia="en-US"/>
              </w:rPr>
              <w:t>“</w:t>
            </w:r>
            <w:r w:rsidRPr="00F170B0">
              <w:rPr>
                <w:rFonts w:ascii="Arial" w:eastAsia="Times New Roman" w:hAnsi="Arial" w:cs="Arial"/>
                <w:b/>
                <w:sz w:val="16"/>
                <w:szCs w:val="16"/>
                <w:lang w:eastAsia="en-US"/>
              </w:rPr>
              <w:t xml:space="preserve">Discount </w:t>
            </w:r>
            <w:r w:rsidR="005902BE">
              <w:rPr>
                <w:rFonts w:ascii="Arial" w:eastAsia="Times New Roman" w:hAnsi="Arial" w:cs="Arial"/>
                <w:b/>
                <w:sz w:val="16"/>
                <w:szCs w:val="16"/>
                <w:lang w:eastAsia="en-US"/>
              </w:rPr>
              <w:t>Management</w:t>
            </w:r>
            <w:r w:rsidR="005902BE" w:rsidRPr="00045D21">
              <w:rPr>
                <w:rFonts w:ascii="Arial" w:eastAsia="Times New Roman" w:hAnsi="Arial" w:cs="Arial"/>
                <w:sz w:val="16"/>
                <w:szCs w:val="16"/>
                <w:lang w:eastAsia="en-US"/>
              </w:rPr>
              <w:t>”</w:t>
            </w:r>
            <w:r w:rsidR="005902BE" w:rsidRPr="00F170B0">
              <w:rPr>
                <w:rFonts w:ascii="Arial" w:eastAsia="Times New Roman" w:hAnsi="Arial" w:cs="Arial"/>
                <w:sz w:val="16"/>
                <w:szCs w:val="16"/>
                <w:lang w:eastAsia="en-US"/>
              </w:rPr>
              <w:t>: buyback activity for discount management purposes</w:t>
            </w:r>
            <w:r w:rsidR="005902BE">
              <w:rPr>
                <w:rFonts w:ascii="Arial" w:eastAsia="Times New Roman" w:hAnsi="Arial" w:cs="Arial"/>
                <w:sz w:val="16"/>
                <w:szCs w:val="16"/>
                <w:lang w:eastAsia="en-US"/>
              </w:rPr>
              <w:t xml:space="preserve">. </w:t>
            </w:r>
          </w:p>
        </w:tc>
      </w:tr>
      <w:tr w:rsidR="007A4D7C" w14:paraId="0FDE9520" w14:textId="77777777" w:rsidTr="00FF2A1B">
        <w:trPr>
          <w:trHeight w:val="285"/>
        </w:trPr>
        <w:tc>
          <w:tcPr>
            <w:tcW w:w="1809" w:type="dxa"/>
            <w:vMerge w:val="restart"/>
          </w:tcPr>
          <w:p w14:paraId="0FDE951E" w14:textId="6CE68D0C" w:rsidR="007A4D7C" w:rsidRPr="007A4D7C" w:rsidRDefault="007A4D7C" w:rsidP="00674259">
            <w:pPr>
              <w:pageBreakBefore/>
              <w:spacing w:after="0" w:line="288" w:lineRule="auto"/>
              <w:rPr>
                <w:rFonts w:ascii="Arial" w:hAnsi="Arial" w:cs="Arial"/>
                <w:b/>
                <w:color w:val="BC5E1E"/>
                <w:sz w:val="20"/>
                <w:szCs w:val="20"/>
              </w:rPr>
            </w:pPr>
            <w:r w:rsidRPr="007A4D7C">
              <w:rPr>
                <w:rFonts w:ascii="Arial" w:hAnsi="Arial" w:cs="Arial"/>
                <w:b/>
                <w:color w:val="BC5E1E"/>
                <w:sz w:val="20"/>
                <w:szCs w:val="20"/>
              </w:rPr>
              <w:lastRenderedPageBreak/>
              <w:t>Manager's Market Review and Outlook</w:t>
            </w:r>
          </w:p>
        </w:tc>
        <w:tc>
          <w:tcPr>
            <w:tcW w:w="8364" w:type="dxa"/>
          </w:tcPr>
          <w:p w14:paraId="0FDE951F" w14:textId="77777777" w:rsidR="007A4D7C" w:rsidRPr="007A4D7C" w:rsidRDefault="007A4D7C" w:rsidP="007A4D7C">
            <w:pPr>
              <w:spacing w:after="0" w:line="288" w:lineRule="auto"/>
              <w:jc w:val="both"/>
              <w:rPr>
                <w:rFonts w:ascii="Arial" w:hAnsi="Arial" w:cs="Arial"/>
                <w:color w:val="000000"/>
                <w:sz w:val="20"/>
                <w:szCs w:val="20"/>
              </w:rPr>
            </w:pPr>
            <w:r w:rsidRPr="007A4D7C">
              <w:rPr>
                <w:rFonts w:ascii="Arial" w:hAnsi="Arial" w:cs="Arial"/>
                <w:color w:val="000000"/>
                <w:sz w:val="20"/>
                <w:szCs w:val="20"/>
              </w:rPr>
              <w:t>The information in this section has been provided to BHM by BHCM</w:t>
            </w:r>
          </w:p>
        </w:tc>
      </w:tr>
      <w:tr w:rsidR="007A4D7C" w14:paraId="0FDE952E" w14:textId="77777777" w:rsidTr="00FF2A1B">
        <w:trPr>
          <w:trHeight w:val="285"/>
        </w:trPr>
        <w:tc>
          <w:tcPr>
            <w:tcW w:w="1809" w:type="dxa"/>
            <w:vMerge/>
          </w:tcPr>
          <w:p w14:paraId="0FDE9521"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tcPr>
          <w:p w14:paraId="0B9B65F5" w14:textId="77777777" w:rsidR="002B12A1" w:rsidRPr="002B12A1" w:rsidRDefault="002B12A1" w:rsidP="007C7D6B">
            <w:pPr>
              <w:pStyle w:val="NoSpacing"/>
              <w:rPr>
                <w:rFonts w:eastAsia="Times New Roman" w:cs="Times New Roman"/>
                <w:bCs/>
                <w:color w:val="7C2D23"/>
                <w:szCs w:val="28"/>
              </w:rPr>
            </w:pPr>
            <w:r w:rsidRPr="007C7D6B">
              <w:rPr>
                <w:rFonts w:eastAsiaTheme="minorEastAsia" w:cs="Arial"/>
                <w:b/>
                <w:color w:val="BC5E1E"/>
                <w:szCs w:val="20"/>
                <w:lang w:eastAsia="en-GB"/>
              </w:rPr>
              <w:t xml:space="preserve">US  </w:t>
            </w:r>
          </w:p>
          <w:p w14:paraId="29DFACBE" w14:textId="4D0CAFA1"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The labour market sent mixed signals in March, with the unemployment rate hitting a new cycle low of 4.5% accompanied by a slowdown in the pace of hiring. Although estimates of the long-run sustainable unemployment rate have wide confidence intervals, the 4.5% unemployment rate is slightly below most point estimates of full employment. At the same time, payroll employment growth dipped. However, smoothing through the weather impacts over the last three months, the average monthly increase is a still healthy 175,000</w:t>
            </w:r>
            <w:r w:rsidR="002B308A">
              <w:rPr>
                <w:rFonts w:ascii="Arial" w:hAnsi="Arial" w:cs="Arial"/>
                <w:color w:val="000000"/>
                <w:sz w:val="20"/>
                <w:szCs w:val="20"/>
              </w:rPr>
              <w:t xml:space="preserve"> (approximately)</w:t>
            </w:r>
            <w:r w:rsidRPr="00D50765">
              <w:rPr>
                <w:rFonts w:ascii="Arial" w:hAnsi="Arial" w:cs="Arial"/>
                <w:color w:val="000000"/>
                <w:sz w:val="20"/>
                <w:szCs w:val="20"/>
              </w:rPr>
              <w:t>. Wage indicators appear to be sturdy but not accelerating in any marked way.</w:t>
            </w:r>
          </w:p>
          <w:p w14:paraId="04F2C713" w14:textId="77777777" w:rsidR="00D50765" w:rsidRPr="00D50765" w:rsidRDefault="00D50765" w:rsidP="00D50765">
            <w:pPr>
              <w:spacing w:after="0" w:line="240" w:lineRule="auto"/>
              <w:jc w:val="both"/>
              <w:rPr>
                <w:rFonts w:ascii="Arial" w:hAnsi="Arial" w:cs="Arial"/>
                <w:color w:val="000000"/>
                <w:sz w:val="20"/>
                <w:szCs w:val="20"/>
              </w:rPr>
            </w:pPr>
          </w:p>
          <w:p w14:paraId="70CBD367" w14:textId="77777777"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Growth in the first quarter appears to have slowed to around 1% (annualised). For a variety of reasons, first-quarter growth has often disappointed in recent years. However, the reasons have ranged from technical factors such as seasonal adjustment, temporary factors like the weather or trade disruptions, and more sustained weakness as previously seen in business investment or government spending.  In the current situation, consumption spending, which makes up the vast majority of the overall GDP, has been weak. Some of that owed to the weather and what appears to be temporary weakness in outlays on lumpy goods like autos. A bounce back in the second quarter is expected. By contrast, business investment looks like it firmed in the first quarter. More generally, there is a debate about how the gap between the so-called soft data like surveys and the hard data like retail sales will resolve itself. It is thought, the strength in the soft data may overstate the underlying strength in the economy, and the weakness in the hard data is exaggerated by transitory volatility that often accompanies the business cycle.</w:t>
            </w:r>
          </w:p>
          <w:p w14:paraId="567A1CC3" w14:textId="77777777" w:rsidR="00D50765" w:rsidRPr="00D50765" w:rsidRDefault="00D50765" w:rsidP="00D50765">
            <w:pPr>
              <w:spacing w:after="0" w:line="240" w:lineRule="auto"/>
              <w:jc w:val="both"/>
              <w:rPr>
                <w:rFonts w:ascii="Arial" w:hAnsi="Arial" w:cs="Arial"/>
                <w:color w:val="000000"/>
                <w:sz w:val="20"/>
                <w:szCs w:val="20"/>
              </w:rPr>
            </w:pPr>
          </w:p>
          <w:p w14:paraId="25AE58E8" w14:textId="091B8D52"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Inflation developments were unusually interesting in March. The headline figure has been flattered by the lagged impact of higher energy prices and is probably poised to top out around 2%. Apart from energy and food, the core category was remarkably soft, showing its largest outright monthly decline in the last thirty years. Whenever there is such a marked decline, special factors are at work. In this case, the combination of new adjustment of mobile phone plans and various vendors’ introduction of unlimited data plans combined to account for the decline. Apart from this special story, price changes were still unusually weak. Some of that owed to volatile categories. However, the large and persistent housing inflation categories look like they are no longer putting upward pressure on overall inflation.</w:t>
            </w:r>
          </w:p>
          <w:p w14:paraId="2C957D9F" w14:textId="77777777" w:rsidR="00D50765" w:rsidRPr="00D50765" w:rsidRDefault="00D50765" w:rsidP="00D50765">
            <w:pPr>
              <w:spacing w:after="0" w:line="240" w:lineRule="auto"/>
              <w:rPr>
                <w:rFonts w:ascii="Arial" w:hAnsi="Arial" w:cs="Arial"/>
                <w:color w:val="000000"/>
                <w:sz w:val="20"/>
                <w:szCs w:val="20"/>
              </w:rPr>
            </w:pPr>
          </w:p>
          <w:p w14:paraId="7E00FF38" w14:textId="619C4738"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 xml:space="preserve">The Federal Reserve has turned more constructive on the economy and delivered its second consecutive quarterly rate hike in March. </w:t>
            </w:r>
            <w:r w:rsidR="005609AB">
              <w:rPr>
                <w:rFonts w:ascii="Arial" w:hAnsi="Arial" w:cs="Arial"/>
                <w:color w:val="000000"/>
                <w:sz w:val="20"/>
                <w:szCs w:val="20"/>
              </w:rPr>
              <w:t>Its</w:t>
            </w:r>
            <w:r w:rsidRPr="00D50765">
              <w:rPr>
                <w:rFonts w:ascii="Arial" w:hAnsi="Arial" w:cs="Arial"/>
                <w:color w:val="000000"/>
                <w:sz w:val="20"/>
                <w:szCs w:val="20"/>
              </w:rPr>
              <w:t xml:space="preserve"> communications have pointed to more rate hikes this year and beginning to shrink </w:t>
            </w:r>
            <w:r w:rsidR="005609AB">
              <w:rPr>
                <w:rFonts w:ascii="Arial" w:hAnsi="Arial" w:cs="Arial"/>
                <w:color w:val="000000"/>
                <w:sz w:val="20"/>
                <w:szCs w:val="20"/>
              </w:rPr>
              <w:t xml:space="preserve">passively </w:t>
            </w:r>
            <w:r w:rsidRPr="00D50765">
              <w:rPr>
                <w:rFonts w:ascii="Arial" w:hAnsi="Arial" w:cs="Arial"/>
                <w:color w:val="000000"/>
                <w:sz w:val="20"/>
                <w:szCs w:val="20"/>
              </w:rPr>
              <w:t>its US$4.5 trillion balance sheet, perhaps as soon as later this year. The market doesn’t seem to believe it, although, the market did not believe the Fed would raise rates in March until very close to the meeting. President Trump’s legislative agenda suffered a setback when the Republican Congress failed to pass its version of repealing and replacing Obamacare.  That setback impedes progress on the more macro-r</w:t>
            </w:r>
            <w:r w:rsidR="005609AB">
              <w:rPr>
                <w:rFonts w:ascii="Arial" w:hAnsi="Arial" w:cs="Arial"/>
                <w:color w:val="000000"/>
                <w:sz w:val="20"/>
                <w:szCs w:val="20"/>
              </w:rPr>
              <w:t>elevant legislation on tax cut</w:t>
            </w:r>
            <w:r w:rsidR="00DC11F3">
              <w:rPr>
                <w:rFonts w:ascii="Arial" w:hAnsi="Arial" w:cs="Arial"/>
                <w:color w:val="000000"/>
                <w:sz w:val="20"/>
                <w:szCs w:val="20"/>
              </w:rPr>
              <w:t>s</w:t>
            </w:r>
            <w:r w:rsidR="005609AB">
              <w:rPr>
                <w:rFonts w:ascii="Arial" w:hAnsi="Arial" w:cs="Arial"/>
                <w:color w:val="000000"/>
                <w:sz w:val="20"/>
                <w:szCs w:val="20"/>
              </w:rPr>
              <w:t xml:space="preserve"> and </w:t>
            </w:r>
            <w:r w:rsidRPr="00D50765">
              <w:rPr>
                <w:rFonts w:ascii="Arial" w:hAnsi="Arial" w:cs="Arial"/>
                <w:color w:val="000000"/>
                <w:sz w:val="20"/>
                <w:szCs w:val="20"/>
              </w:rPr>
              <w:t>reform. For now, developments in Washington are stalled and the question is whether this is temporary or a more persistent feature of a potentially gridlocked Congress. Time will tell.</w:t>
            </w:r>
          </w:p>
          <w:p w14:paraId="074C0BF8" w14:textId="77777777" w:rsidR="00D50765" w:rsidRPr="00D50765" w:rsidRDefault="00D50765" w:rsidP="00D50765">
            <w:pPr>
              <w:spacing w:after="0" w:line="240" w:lineRule="auto"/>
              <w:rPr>
                <w:rFonts w:ascii="Leelawadee" w:eastAsia="Calibri" w:hAnsi="Leelawadee"/>
                <w:sz w:val="16"/>
              </w:rPr>
            </w:pPr>
          </w:p>
          <w:p w14:paraId="0B73EFE8" w14:textId="43651014"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b/>
                <w:color w:val="BC5E1E"/>
                <w:sz w:val="20"/>
                <w:szCs w:val="20"/>
              </w:rPr>
              <w:t>UK</w:t>
            </w:r>
            <w:r w:rsidRPr="00D50765">
              <w:rPr>
                <w:rFonts w:ascii="Leelawadee" w:eastAsiaTheme="minorHAnsi" w:hAnsi="Leelawadee"/>
                <w:b/>
                <w:sz w:val="16"/>
                <w:lang w:val="en-US"/>
              </w:rPr>
              <w:br/>
            </w:r>
            <w:r w:rsidRPr="00D50765">
              <w:rPr>
                <w:rFonts w:ascii="Arial" w:hAnsi="Arial" w:cs="Arial"/>
                <w:color w:val="000000"/>
                <w:sz w:val="20"/>
                <w:szCs w:val="20"/>
              </w:rPr>
              <w:t xml:space="preserve">After the UK economy had proved resilient in the second half of 2016 in response to the Brexit vote, the latest data suggest that a slowdown in economic activity may at last be under way. As inflation rises, any given nominal amount of spending buys fewer goods and services; correspondingly, as consumer price inflation hit 2.3% y/y in February, up </w:t>
            </w:r>
            <w:r w:rsidR="009F2264">
              <w:rPr>
                <w:rFonts w:ascii="Arial" w:hAnsi="Arial" w:cs="Arial"/>
                <w:color w:val="000000"/>
                <w:sz w:val="20"/>
                <w:szCs w:val="20"/>
              </w:rPr>
              <w:t>from 1.6% y/y in December, the growth o</w:t>
            </w:r>
            <w:r w:rsidRPr="00D50765">
              <w:rPr>
                <w:rFonts w:ascii="Arial" w:hAnsi="Arial" w:cs="Arial"/>
                <w:color w:val="000000"/>
                <w:sz w:val="20"/>
                <w:szCs w:val="20"/>
              </w:rPr>
              <w:t xml:space="preserve">f retail sales excluding fuel slowed to an average of 3.1% y/y in the two months ended February 2017 from 5.7% y/y in the two months ended December </w:t>
            </w:r>
            <w:r w:rsidR="009F2264">
              <w:rPr>
                <w:rFonts w:ascii="Arial" w:hAnsi="Arial" w:cs="Arial"/>
                <w:color w:val="000000"/>
                <w:sz w:val="20"/>
                <w:szCs w:val="20"/>
              </w:rPr>
              <w:lastRenderedPageBreak/>
              <w:t>2016. House price growth</w:t>
            </w:r>
            <w:r w:rsidRPr="00D50765">
              <w:rPr>
                <w:rFonts w:ascii="Arial" w:hAnsi="Arial" w:cs="Arial"/>
                <w:color w:val="000000"/>
                <w:sz w:val="20"/>
                <w:szCs w:val="20"/>
              </w:rPr>
              <w:t xml:space="preserve"> also decelerated on a broad range of metrics, to around 2.5% y/y at the end of the first quarter from around 5.0% y/y at the end of last year. It remains to be seen as to what extent the emerging domestic weakness can be offset by the remarkable and broad-based global upswing that, along with weaker Sterling, could provide a welcome boost to UK exports. All told, however, the National Institute of Economic and Social Research’s monthly tracking of UK GDP currently points to a loss of momentum to about 0.5% q/q in March from around 0.7% q/q at the start of the year, back in line with the Bank of England’s (“BoE”) initial projection in the February Inflation Report. More important for the BoE is that the unexpected strength of economic activity in the second half of 2016 and the currency-induced rise in inflation have not led to the emergence of domestic price pressure beyond the expected price-level adjustment. Average weekly earnings excluding bonuses have slowed to 1.9% y/y in January from 2.3% y/y in December, and several price components on the major surveys have come off their highs.</w:t>
            </w:r>
          </w:p>
          <w:p w14:paraId="79C73D57" w14:textId="77777777" w:rsidR="00D50765" w:rsidRPr="00D50765" w:rsidRDefault="00D50765" w:rsidP="00D50765">
            <w:pPr>
              <w:spacing w:after="0" w:line="240" w:lineRule="auto"/>
              <w:jc w:val="both"/>
              <w:rPr>
                <w:rFonts w:ascii="Arial" w:hAnsi="Arial" w:cs="Arial"/>
                <w:color w:val="000000"/>
                <w:sz w:val="20"/>
                <w:szCs w:val="20"/>
              </w:rPr>
            </w:pPr>
          </w:p>
          <w:p w14:paraId="6B893D4C" w14:textId="77777777"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Hence, it came as a slight surprise to the market when the BoE’s Monetary Policy Committee (“MPC”) at its most recent policy meeting in mid-March seemingly endorsed the implied policy rate path for a moderate tightening in interest rates priced by financial markets. One of the rate setters on the committee even voted for a 25bps rate hike at this meeting, resulting in an 8-1 split vote in favour of unchanged monetary policy. The minutes of the meeting hinted at the possibility that other members of the committee could start voting for hikes soon. Other members, however, found confirmation in the latest data for the MPC’s baseline scenario set out in the Inflation Report. Whether the BoE will actually hike interest rates over the coming year will depend on real economic activity and the extent to which the Sterling-induced rise in inflation feeds through to inflation expectations and wages. Should inflation expectations and wages show no signs of acceleration, it is hard to see a majority of MPC members vote for a rate hike, especially now that some signs of weakness in economic activity are emerging. On 18 April 2017, Prime Minister Theresa May, called a General Election for 8 June 2017, in which she and her Conservative party will seek to boost their majority in the House of Commons, cementing her power and giving her more flexibility in the exit negotiations with the remaining 27 EU member states.</w:t>
            </w:r>
          </w:p>
          <w:p w14:paraId="0B016ED8" w14:textId="77777777" w:rsidR="00D50765" w:rsidRPr="00D50765" w:rsidRDefault="00D50765" w:rsidP="00D50765">
            <w:pPr>
              <w:spacing w:after="120" w:line="240" w:lineRule="auto"/>
              <w:jc w:val="both"/>
              <w:rPr>
                <w:rFonts w:ascii="Leelawadee" w:eastAsia="Calibri" w:hAnsi="Leelawadee"/>
                <w:sz w:val="16"/>
              </w:rPr>
            </w:pPr>
          </w:p>
          <w:p w14:paraId="7273E970" w14:textId="77777777" w:rsidR="00CC07C4" w:rsidRPr="00CC07C4" w:rsidRDefault="00CC07C4" w:rsidP="00CC07C4">
            <w:pPr>
              <w:spacing w:after="120" w:line="240" w:lineRule="auto"/>
              <w:jc w:val="both"/>
              <w:rPr>
                <w:rFonts w:ascii="Arial" w:hAnsi="Arial" w:cs="Arial"/>
                <w:b/>
                <w:color w:val="BC5E1E"/>
                <w:sz w:val="20"/>
                <w:szCs w:val="20"/>
              </w:rPr>
            </w:pPr>
            <w:r w:rsidRPr="00CC07C4">
              <w:rPr>
                <w:rFonts w:ascii="Arial" w:hAnsi="Arial" w:cs="Arial"/>
                <w:b/>
                <w:color w:val="BC5E1E"/>
                <w:sz w:val="20"/>
                <w:szCs w:val="20"/>
              </w:rPr>
              <w:t xml:space="preserve">EMU </w:t>
            </w:r>
          </w:p>
          <w:p w14:paraId="63CF608D" w14:textId="77777777"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Survey indicators remain positive with the EMU March composite Purchasing Managers’ Index (“PMI”) at a fresh high</w:t>
            </w:r>
            <w:r w:rsidRPr="00CC07C4">
              <w:rPr>
                <w:rFonts w:ascii="Leelawadee" w:eastAsia="Calibri" w:hAnsi="Leelawadee" w:cs="Times New Roman"/>
                <w:sz w:val="16"/>
              </w:rPr>
              <w:t xml:space="preserve"> </w:t>
            </w:r>
            <w:r w:rsidRPr="00CC07C4">
              <w:rPr>
                <w:rFonts w:ascii="Arial" w:hAnsi="Arial" w:cs="Arial"/>
                <w:color w:val="000000"/>
                <w:sz w:val="20"/>
                <w:szCs w:val="20"/>
              </w:rPr>
              <w:t>since April 2011 and the IFO business climate index at its strongest since July 2011, although some overshooting of indications stemming from business surveys relative to actual data has been noted. Developments in the labour market remain favourable as the EMU unemployment rate edged down again to 9.5% in February (its lowest since April 2009). Despite this, wage growth remains sluggish: euro area negotiated wage growth was 1.4% y/y in Q4 2016 and averaged 1.5% for the whole of 2016 - the slowest annual growth rate since 1991 - after 1.5% in 2015, 1.7% in 2014 and 2.3% on average during 1991-2012. Consistently, EMU headline inflation dropped back to 1.5% y/y in March, due to a correction of food prices after the overshooting due to an unseasonal cold winter in the South of Europe and the impact of the later timing of Easter which helped core inflation to fall from 0.9% y/y in February to just 0.67% y/y in March. While there will likely be some unwind next month, the core inflation trend remains subdued.</w:t>
            </w:r>
          </w:p>
          <w:p w14:paraId="25B7EC99" w14:textId="77777777" w:rsidR="00CC07C4" w:rsidRPr="00CC07C4" w:rsidRDefault="00CC07C4" w:rsidP="00CC07C4">
            <w:pPr>
              <w:spacing w:after="0" w:line="240" w:lineRule="auto"/>
              <w:jc w:val="both"/>
              <w:rPr>
                <w:rFonts w:ascii="Arial" w:hAnsi="Arial" w:cs="Arial"/>
                <w:color w:val="000000"/>
                <w:sz w:val="20"/>
                <w:szCs w:val="20"/>
              </w:rPr>
            </w:pPr>
          </w:p>
          <w:p w14:paraId="1BFC683A" w14:textId="737183F8"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 xml:space="preserve">Underlying inflation is currently the main argument of the ECB’s reaction function and the ECB is poised to be surprised to the downside on core inflation, which should limit the risks of premature tightening. The ECB’s core inflation forecast is 1.1% for 2017, 1.5% for 2018 and 1.8% for 2019. The ECB having an optimistic outlook on core inflation is nothing new and depends crucially on wage inflation, which is kept low by a falling NAIRU. ECB policy has been in sharp focus following the suggestion by some Governing Council members that the sequencing within the forward guidance could be changed and interest rates could </w:t>
            </w:r>
            <w:r w:rsidRPr="00CC07C4">
              <w:rPr>
                <w:rFonts w:ascii="Arial" w:hAnsi="Arial" w:cs="Arial"/>
                <w:color w:val="000000"/>
                <w:sz w:val="20"/>
                <w:szCs w:val="20"/>
              </w:rPr>
              <w:lastRenderedPageBreak/>
              <w:t>increase before the end of Quantitative Easing. However, there has been strong pushback to this view, with Draghi and Praet at the ECB Watchers’ conference confirming there was no reason to deviate from the guidance, including on sequencing and also there is no convincing sign of self-sustained inflation yet. Furthermore, accounts from the 9 March ECB meeting confirmed that discussions on forward guidance were focussed on whether to remove the downward bias on interest rates, rather than on sequencing (even though the debate quickly turned to the latter following the meeting). However, the prevailing counter-argument was that changes to the current guidance could lead to an undue upward shift in market rates and tighten financial conditions (so it proved during the debate that followed). That meant that “on balance” removing the downward bias on interest rates within the forward guidance was seen as “premature”. That said, the reference to “on balance” suggests its removal is probably not far off, most likely to happen in June. Renewed downside risks in 2017 are linked mainly to political developments in Europe. The next important election focus is France (7 May Presidential and 11/18 June legislative).</w:t>
            </w:r>
            <w:r w:rsidR="00C7305A" w:rsidRPr="00C7305A">
              <w:rPr>
                <w:rFonts w:ascii="Arial" w:hAnsi="Arial" w:cs="Arial"/>
                <w:color w:val="000000"/>
                <w:sz w:val="20"/>
                <w:szCs w:val="20"/>
              </w:rPr>
              <w:t xml:space="preserve"> Dovish tones were maintained by the ECB at the April policy meeting, when the ECB </w:t>
            </w:r>
            <w:r w:rsidR="00C7305A">
              <w:rPr>
                <w:rFonts w:ascii="Arial" w:hAnsi="Arial" w:cs="Arial"/>
                <w:color w:val="000000"/>
                <w:sz w:val="20"/>
                <w:szCs w:val="20"/>
              </w:rPr>
              <w:t>slightly u</w:t>
            </w:r>
            <w:r w:rsidR="00C7305A" w:rsidRPr="00C7305A">
              <w:rPr>
                <w:rFonts w:ascii="Arial" w:hAnsi="Arial" w:cs="Arial"/>
                <w:color w:val="000000"/>
                <w:sz w:val="20"/>
                <w:szCs w:val="20"/>
              </w:rPr>
              <w:t>pgraded its growth assessment, while keeping their views</w:t>
            </w:r>
            <w:r w:rsidR="00C7305A">
              <w:rPr>
                <w:rFonts w:ascii="Arial" w:hAnsi="Arial" w:cs="Arial"/>
                <w:color w:val="000000"/>
                <w:sz w:val="20"/>
                <w:szCs w:val="20"/>
              </w:rPr>
              <w:t xml:space="preserve"> unchanged</w:t>
            </w:r>
            <w:r w:rsidR="00C7305A" w:rsidRPr="00C7305A">
              <w:rPr>
                <w:rFonts w:ascii="Arial" w:hAnsi="Arial" w:cs="Arial"/>
                <w:color w:val="000000"/>
                <w:sz w:val="20"/>
                <w:szCs w:val="20"/>
              </w:rPr>
              <w:t xml:space="preserve"> on underlying inflation.</w:t>
            </w:r>
          </w:p>
          <w:p w14:paraId="3D3726DA" w14:textId="77777777" w:rsidR="00CC07C4" w:rsidRPr="00CC07C4" w:rsidRDefault="00CC07C4" w:rsidP="00CC07C4">
            <w:pPr>
              <w:jc w:val="both"/>
              <w:rPr>
                <w:rFonts w:ascii="Arial" w:hAnsi="Arial" w:cs="Arial"/>
                <w:color w:val="000000"/>
                <w:sz w:val="20"/>
                <w:szCs w:val="20"/>
              </w:rPr>
            </w:pPr>
          </w:p>
          <w:p w14:paraId="07DA525D" w14:textId="77777777" w:rsidR="00CC07C4" w:rsidRPr="00CC07C4" w:rsidRDefault="00CC07C4" w:rsidP="00CC07C4">
            <w:pPr>
              <w:spacing w:after="120" w:line="240" w:lineRule="auto"/>
              <w:jc w:val="both"/>
              <w:rPr>
                <w:rFonts w:ascii="Arial" w:hAnsi="Arial" w:cs="Arial"/>
                <w:b/>
                <w:color w:val="BC5E1E"/>
                <w:sz w:val="20"/>
                <w:szCs w:val="20"/>
              </w:rPr>
            </w:pPr>
            <w:r w:rsidRPr="00CC07C4">
              <w:rPr>
                <w:rFonts w:ascii="Arial" w:hAnsi="Arial" w:cs="Arial"/>
                <w:b/>
                <w:color w:val="BC5E1E"/>
                <w:sz w:val="20"/>
                <w:szCs w:val="20"/>
              </w:rPr>
              <w:t>China</w:t>
            </w:r>
          </w:p>
          <w:p w14:paraId="5D96731B" w14:textId="4DE67968"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On average, activity data held up in March. The official PMI improved on February to print 51.8, however, the Caixin PMI weakened from 51.7 for February to 51.2 in March. Fixed asset investment growth recorded a further improving 9.2% y/y. In addition,</w:t>
            </w:r>
            <w:r w:rsidR="009F2264">
              <w:rPr>
                <w:rFonts w:ascii="Arial" w:hAnsi="Arial" w:cs="Arial"/>
                <w:color w:val="000000"/>
                <w:sz w:val="20"/>
                <w:szCs w:val="20"/>
              </w:rPr>
              <w:t xml:space="preserve"> i</w:t>
            </w:r>
            <w:r w:rsidRPr="00CC07C4">
              <w:rPr>
                <w:rFonts w:ascii="Arial" w:hAnsi="Arial" w:cs="Arial"/>
                <w:color w:val="000000"/>
                <w:sz w:val="20"/>
                <w:szCs w:val="20"/>
              </w:rPr>
              <w:t>ndustrial production growth exceeded expectations to register a 7.6% gain while retail sales growth also gained on February to deliver a 10.9% gain y/y. Inflation ticked up a little to 0.9% from 0.8% prior, although still lower than a previous survey of 1.0%. Producer prices, however, did tick down from the prior month of 7.8% for February to 7.6% in March. On the external side, export data improved to 16.4% y/y for March and imports gave back some of the strong gains from February.</w:t>
            </w:r>
          </w:p>
          <w:p w14:paraId="6FCAAAEC" w14:textId="77777777" w:rsidR="00CC07C4" w:rsidRPr="00CC07C4" w:rsidRDefault="00CC07C4" w:rsidP="00CC07C4">
            <w:pPr>
              <w:spacing w:after="0" w:line="240" w:lineRule="auto"/>
              <w:jc w:val="both"/>
              <w:rPr>
                <w:rFonts w:ascii="Arial" w:hAnsi="Arial" w:cs="Arial"/>
                <w:color w:val="000000"/>
                <w:sz w:val="20"/>
                <w:szCs w:val="20"/>
              </w:rPr>
            </w:pPr>
          </w:p>
          <w:p w14:paraId="4D0C10F3" w14:textId="1DCC7AA7" w:rsidR="00CC07C4" w:rsidRPr="00CC07C4" w:rsidRDefault="00CC07C4" w:rsidP="00CC07C4">
            <w:pPr>
              <w:spacing w:after="120" w:line="240" w:lineRule="auto"/>
              <w:jc w:val="both"/>
              <w:rPr>
                <w:rFonts w:ascii="Arial" w:hAnsi="Arial" w:cs="Arial"/>
                <w:color w:val="000000"/>
                <w:sz w:val="20"/>
                <w:szCs w:val="20"/>
              </w:rPr>
            </w:pPr>
            <w:r w:rsidRPr="00CC07C4">
              <w:rPr>
                <w:rFonts w:ascii="Arial" w:hAnsi="Arial" w:cs="Arial"/>
                <w:color w:val="000000"/>
                <w:sz w:val="20"/>
                <w:szCs w:val="20"/>
              </w:rPr>
              <w:t xml:space="preserve">Total Social Financing increased to RMB 2,120bn in March from </w:t>
            </w:r>
            <w:r w:rsidR="009F2264">
              <w:rPr>
                <w:rFonts w:ascii="Arial" w:hAnsi="Arial" w:cs="Arial"/>
                <w:color w:val="000000"/>
                <w:sz w:val="20"/>
                <w:szCs w:val="20"/>
              </w:rPr>
              <w:t xml:space="preserve">RMB </w:t>
            </w:r>
            <w:r w:rsidRPr="00CC07C4">
              <w:rPr>
                <w:rFonts w:ascii="Arial" w:hAnsi="Arial" w:cs="Arial"/>
                <w:color w:val="000000"/>
                <w:sz w:val="20"/>
                <w:szCs w:val="20"/>
              </w:rPr>
              <w:t xml:space="preserve">1,150bn in February.  The seven day repo rate was guided higher from 2.9% for February to 3.4% on average during March. </w:t>
            </w:r>
          </w:p>
          <w:p w14:paraId="62F325CC" w14:textId="77777777" w:rsidR="00CC07C4" w:rsidRPr="00CC07C4" w:rsidRDefault="00CC07C4" w:rsidP="00CC07C4">
            <w:pPr>
              <w:spacing w:after="0" w:line="240" w:lineRule="auto"/>
              <w:jc w:val="both"/>
              <w:rPr>
                <w:rFonts w:ascii="Arial" w:hAnsi="Arial" w:cs="Arial"/>
                <w:color w:val="000000"/>
                <w:sz w:val="20"/>
                <w:szCs w:val="20"/>
              </w:rPr>
            </w:pPr>
          </w:p>
          <w:p w14:paraId="24FDF60D" w14:textId="77777777" w:rsidR="00CC07C4" w:rsidRPr="00CC07C4" w:rsidRDefault="00CC07C4" w:rsidP="00CC07C4">
            <w:pPr>
              <w:spacing w:after="120" w:line="240" w:lineRule="auto"/>
              <w:jc w:val="both"/>
              <w:rPr>
                <w:rFonts w:ascii="Arial" w:hAnsi="Arial" w:cs="Arial"/>
                <w:b/>
                <w:color w:val="BC5E1E"/>
                <w:sz w:val="20"/>
                <w:szCs w:val="20"/>
              </w:rPr>
            </w:pPr>
            <w:r w:rsidRPr="00CC07C4">
              <w:rPr>
                <w:rFonts w:ascii="Arial" w:hAnsi="Arial" w:cs="Arial"/>
                <w:b/>
                <w:color w:val="BC5E1E"/>
                <w:sz w:val="20"/>
                <w:szCs w:val="20"/>
              </w:rPr>
              <w:t>Japan</w:t>
            </w:r>
          </w:p>
          <w:p w14:paraId="3DD51CA0" w14:textId="3BF10D9C"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Japanese policy and economic conditions in March were generally uninteresting.  Inflation remained flat.  The core Consumer Price Inflation was unchanged on a seasonally adjusted basis in February and was up only 0.2% year-on-year.  Non-fresh food and energy prices edged up, while the western core measure, which excludes all food and energy slipped in February and was flat over the last twelve months.  Tokyo data have been a touch weaker.  Oil prices have firmed in the last few weeks, but are only back to levels seen over the winter.  Meanwhile, the firming in the Yen since the start of the year has reversed half of the Trump-related depreciation against the dollar in the immediate aftermath of the election.  As there is still a moderate-sized output gap, i</w:t>
            </w:r>
            <w:r w:rsidR="009F2264">
              <w:rPr>
                <w:rFonts w:ascii="Arial" w:hAnsi="Arial" w:cs="Arial"/>
                <w:color w:val="000000"/>
                <w:sz w:val="20"/>
                <w:szCs w:val="20"/>
              </w:rPr>
              <w:t xml:space="preserve">t is </w:t>
            </w:r>
            <w:r w:rsidRPr="00CC07C4">
              <w:rPr>
                <w:rFonts w:ascii="Arial" w:hAnsi="Arial" w:cs="Arial"/>
                <w:color w:val="000000"/>
                <w:sz w:val="20"/>
                <w:szCs w:val="20"/>
              </w:rPr>
              <w:t>unclear from where the Bank of Japan (“BoJ”) thinks reinflationary pressures are going to come</w:t>
            </w:r>
            <w:r w:rsidR="00BC4D4D">
              <w:rPr>
                <w:rFonts w:ascii="Arial" w:hAnsi="Arial" w:cs="Arial"/>
                <w:color w:val="000000"/>
                <w:sz w:val="20"/>
                <w:szCs w:val="20"/>
              </w:rPr>
              <w:t xml:space="preserve"> from</w:t>
            </w:r>
            <w:r w:rsidRPr="00CC07C4">
              <w:rPr>
                <w:rFonts w:ascii="Arial" w:hAnsi="Arial" w:cs="Arial"/>
                <w:color w:val="000000"/>
                <w:sz w:val="20"/>
                <w:szCs w:val="20"/>
              </w:rPr>
              <w:t>.</w:t>
            </w:r>
          </w:p>
          <w:p w14:paraId="33B8000A" w14:textId="77777777" w:rsidR="00CC07C4" w:rsidRPr="00CC07C4" w:rsidRDefault="00CC07C4" w:rsidP="00CC07C4">
            <w:pPr>
              <w:spacing w:after="0" w:line="240" w:lineRule="auto"/>
              <w:jc w:val="both"/>
              <w:rPr>
                <w:rFonts w:ascii="Arial" w:hAnsi="Arial" w:cs="Arial"/>
                <w:color w:val="000000"/>
                <w:sz w:val="20"/>
                <w:szCs w:val="20"/>
              </w:rPr>
            </w:pPr>
          </w:p>
          <w:p w14:paraId="34E65846" w14:textId="29A3FF80"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 xml:space="preserve">Survey data have likewise been quiet. The latest data point from the Tankan survey improved slightly, but is better thought of as continuing the sideways trend seen for almost four years.  The monthly Shoko-Chukin survey of small and medium-sized businesses reversed half of the previous month’s jump, but it too has mostly just moved sideways at a level a little below the 50 par line.  The economy watchers survey has been more volatile.  Over the last three months it has decreased but from a slightly elevated level to a little below its four-year average.  The one exception to this dull outlook is industrial production which </w:t>
            </w:r>
            <w:r w:rsidRPr="00CC07C4">
              <w:rPr>
                <w:rFonts w:ascii="Arial" w:hAnsi="Arial" w:cs="Arial"/>
                <w:color w:val="000000"/>
                <w:sz w:val="20"/>
                <w:szCs w:val="20"/>
              </w:rPr>
              <w:lastRenderedPageBreak/>
              <w:t>has been trending up at about a 0.7% (monthly rate) for over half a year.</w:t>
            </w:r>
          </w:p>
          <w:p w14:paraId="03D54AB4" w14:textId="77777777" w:rsidR="00CC07C4" w:rsidRPr="00CC07C4" w:rsidRDefault="00CC07C4" w:rsidP="00CC07C4">
            <w:pPr>
              <w:spacing w:after="0" w:line="240" w:lineRule="auto"/>
              <w:jc w:val="both"/>
              <w:rPr>
                <w:rFonts w:ascii="Arial" w:hAnsi="Arial" w:cs="Arial"/>
                <w:color w:val="000000"/>
                <w:sz w:val="20"/>
                <w:szCs w:val="20"/>
              </w:rPr>
            </w:pPr>
          </w:p>
          <w:p w14:paraId="2E56FB3B" w14:textId="01544526" w:rsidR="00C268A3" w:rsidRPr="00C268A3" w:rsidRDefault="00CC07C4" w:rsidP="00C268A3">
            <w:pPr>
              <w:spacing w:after="0" w:line="240" w:lineRule="auto"/>
              <w:jc w:val="both"/>
              <w:rPr>
                <w:rFonts w:ascii="Arial" w:hAnsi="Arial" w:cs="Arial"/>
                <w:color w:val="000000"/>
                <w:sz w:val="20"/>
                <w:szCs w:val="20"/>
              </w:rPr>
            </w:pPr>
            <w:r w:rsidRPr="00CC07C4">
              <w:rPr>
                <w:rFonts w:ascii="Arial" w:hAnsi="Arial" w:cs="Arial"/>
                <w:color w:val="000000"/>
                <w:sz w:val="20"/>
                <w:szCs w:val="20"/>
              </w:rPr>
              <w:t xml:space="preserve">The BoJ’s latest statement suggests no upcoming policy changes.  The </w:t>
            </w:r>
            <w:r w:rsidR="00BC4D4D">
              <w:rPr>
                <w:rFonts w:ascii="Arial" w:hAnsi="Arial" w:cs="Arial"/>
                <w:color w:val="000000"/>
                <w:sz w:val="20"/>
                <w:szCs w:val="20"/>
              </w:rPr>
              <w:t>BoJ</w:t>
            </w:r>
            <w:r w:rsidRPr="00CC07C4">
              <w:rPr>
                <w:rFonts w:ascii="Arial" w:hAnsi="Arial" w:cs="Arial"/>
                <w:color w:val="000000"/>
                <w:sz w:val="20"/>
                <w:szCs w:val="20"/>
              </w:rPr>
              <w:t xml:space="preserve"> reiterated its yield-control policy and repeated its expected pace of JGB purchases.  In its summary of opinions released a couple of weeks after the meeting, it stated that “there have been no obstacles to its [monetary policy] operations” and that “there is no need to change the current policy framework in the near </w:t>
            </w:r>
            <w:r w:rsidR="00B602D4">
              <w:rPr>
                <w:rFonts w:ascii="Arial" w:hAnsi="Arial" w:cs="Arial"/>
                <w:color w:val="000000"/>
                <w:sz w:val="20"/>
                <w:szCs w:val="20"/>
              </w:rPr>
              <w:t>future</w:t>
            </w:r>
            <w:r w:rsidR="004C66E3">
              <w:rPr>
                <w:rFonts w:ascii="Arial" w:hAnsi="Arial" w:cs="Arial"/>
                <w:color w:val="000000"/>
                <w:sz w:val="20"/>
                <w:szCs w:val="20"/>
              </w:rPr>
              <w:t>”</w:t>
            </w:r>
            <w:r w:rsidR="00B602D4">
              <w:rPr>
                <w:rFonts w:ascii="Arial" w:hAnsi="Arial" w:cs="Arial"/>
                <w:color w:val="000000"/>
                <w:sz w:val="20"/>
                <w:szCs w:val="20"/>
              </w:rPr>
              <w:t>.</w:t>
            </w:r>
          </w:p>
          <w:p w14:paraId="0FDE952D" w14:textId="159CD591" w:rsidR="00CE5D32" w:rsidRPr="00A83E84" w:rsidRDefault="00CE5D32" w:rsidP="00583254">
            <w:pPr>
              <w:spacing w:after="0" w:line="240" w:lineRule="auto"/>
              <w:jc w:val="both"/>
              <w:rPr>
                <w:rFonts w:ascii="Arial" w:eastAsia="Calibri" w:hAnsi="Arial" w:cs="Calibri"/>
                <w:sz w:val="20"/>
                <w:lang w:eastAsia="en-US"/>
              </w:rPr>
            </w:pPr>
          </w:p>
        </w:tc>
      </w:tr>
      <w:tr w:rsidR="007A4D7C" w14:paraId="0FDE9533" w14:textId="77777777" w:rsidTr="00FF2A1B">
        <w:tc>
          <w:tcPr>
            <w:tcW w:w="1809" w:type="dxa"/>
          </w:tcPr>
          <w:p w14:paraId="0FDE952F" w14:textId="77777777" w:rsidR="007A4D7C" w:rsidRPr="007A4D7C" w:rsidRDefault="007A4D7C" w:rsidP="00321E13">
            <w:pPr>
              <w:spacing w:after="0" w:line="288" w:lineRule="auto"/>
              <w:jc w:val="both"/>
              <w:rPr>
                <w:rFonts w:ascii="Arial" w:hAnsi="Arial" w:cs="Arial"/>
                <w:b/>
                <w:color w:val="BC5E1E"/>
                <w:sz w:val="20"/>
                <w:szCs w:val="20"/>
              </w:rPr>
            </w:pPr>
            <w:r w:rsidRPr="007A4D7C">
              <w:rPr>
                <w:rFonts w:ascii="Arial" w:hAnsi="Arial" w:cs="Arial"/>
                <w:b/>
                <w:color w:val="BC5E1E"/>
                <w:sz w:val="20"/>
                <w:szCs w:val="20"/>
              </w:rPr>
              <w:lastRenderedPageBreak/>
              <w:t>Enquiries</w:t>
            </w:r>
          </w:p>
        </w:tc>
        <w:tc>
          <w:tcPr>
            <w:tcW w:w="8364" w:type="dxa"/>
          </w:tcPr>
          <w:p w14:paraId="0FDE9530" w14:textId="77777777" w:rsidR="007A4D7C" w:rsidRPr="007A4D7C" w:rsidRDefault="007A4D7C" w:rsidP="007A4D7C">
            <w:pPr>
              <w:spacing w:after="240" w:line="240" w:lineRule="exact"/>
              <w:jc w:val="both"/>
              <w:rPr>
                <w:rFonts w:ascii="Arial" w:eastAsia="Times New Roman" w:hAnsi="Arial" w:cs="Arial"/>
                <w:b/>
                <w:sz w:val="20"/>
                <w:szCs w:val="20"/>
                <w:lang w:val="en-US"/>
              </w:rPr>
            </w:pPr>
            <w:r w:rsidRPr="007A4D7C">
              <w:rPr>
                <w:rFonts w:ascii="Arial" w:eastAsia="Times New Roman" w:hAnsi="Arial" w:cs="Arial"/>
                <w:b/>
                <w:sz w:val="20"/>
                <w:szCs w:val="20"/>
                <w:lang w:val="en-US"/>
              </w:rPr>
              <w:t>Northern Trust International Fund Administration Services (Guernsey) Limited</w:t>
            </w:r>
          </w:p>
          <w:p w14:paraId="0FDE9531" w14:textId="77777777" w:rsidR="007A4D7C" w:rsidRPr="007A4D7C" w:rsidRDefault="007A4D7C" w:rsidP="007A4D7C">
            <w:pPr>
              <w:spacing w:before="40" w:after="60" w:line="240" w:lineRule="auto"/>
              <w:outlineLvl w:val="3"/>
              <w:rPr>
                <w:rFonts w:ascii="Arial" w:eastAsia="Times New Roman" w:hAnsi="Arial" w:cs="Times New Roman"/>
                <w:sz w:val="20"/>
                <w:szCs w:val="28"/>
                <w:lang w:eastAsia="en-US"/>
              </w:rPr>
            </w:pPr>
            <w:r w:rsidRPr="007A4D7C">
              <w:rPr>
                <w:rFonts w:ascii="Arial" w:eastAsia="Times New Roman" w:hAnsi="Arial" w:cs="Times New Roman"/>
                <w:sz w:val="20"/>
                <w:szCs w:val="28"/>
                <w:lang w:eastAsia="en-US"/>
              </w:rPr>
              <w:t>Harry Rouillard +44 (0) 1481 74 5315</w:t>
            </w:r>
          </w:p>
          <w:p w14:paraId="0FDE9532" w14:textId="77777777" w:rsidR="007A4D7C" w:rsidRDefault="007A4D7C" w:rsidP="007A4D7C">
            <w:pPr>
              <w:spacing w:after="120" w:line="288" w:lineRule="auto"/>
              <w:jc w:val="both"/>
              <w:rPr>
                <w:rFonts w:ascii="Arial" w:hAnsi="Arial" w:cs="Arial"/>
                <w:sz w:val="20"/>
                <w:szCs w:val="20"/>
              </w:rPr>
            </w:pPr>
          </w:p>
        </w:tc>
      </w:tr>
    </w:tbl>
    <w:p w14:paraId="0FDE9534" w14:textId="77777777" w:rsidR="007A4D7C" w:rsidRPr="007A4D7C" w:rsidRDefault="007A4D7C" w:rsidP="00321E13">
      <w:pPr>
        <w:pageBreakBefore/>
        <w:spacing w:after="120" w:line="288" w:lineRule="auto"/>
        <w:jc w:val="both"/>
        <w:rPr>
          <w:rFonts w:ascii="Arial" w:eastAsia="Times New Roman" w:hAnsi="Arial" w:cs="Arial"/>
          <w:b/>
          <w:sz w:val="18"/>
          <w:szCs w:val="18"/>
        </w:rPr>
      </w:pPr>
      <w:bookmarkStart w:id="9" w:name="FirstPageDisclaimer"/>
      <w:bookmarkEnd w:id="9"/>
      <w:r w:rsidRPr="007A4D7C">
        <w:rPr>
          <w:rFonts w:ascii="Arial" w:eastAsia="Times New Roman" w:hAnsi="Arial" w:cs="Arial"/>
          <w:b/>
          <w:sz w:val="18"/>
          <w:szCs w:val="18"/>
        </w:rPr>
        <w:lastRenderedPageBreak/>
        <w:t>Important Legal Information and Disclaimer</w:t>
      </w:r>
    </w:p>
    <w:p w14:paraId="0FDE9535" w14:textId="77777777" w:rsidR="007A4D7C" w:rsidRPr="007A4D7C" w:rsidRDefault="007A4D7C" w:rsidP="007A4D7C">
      <w:pPr>
        <w:spacing w:after="120" w:line="288" w:lineRule="auto"/>
        <w:jc w:val="both"/>
        <w:rPr>
          <w:rFonts w:ascii="Arial" w:eastAsia="Times New Roman" w:hAnsi="Arial" w:cs="Arial"/>
          <w:sz w:val="18"/>
          <w:szCs w:val="18"/>
        </w:rPr>
      </w:pPr>
      <w:r w:rsidRPr="007A4D7C">
        <w:rPr>
          <w:rFonts w:ascii="Arial" w:eastAsia="Times New Roman" w:hAnsi="Arial" w:cs="Arial"/>
          <w:sz w:val="18"/>
          <w:szCs w:val="18"/>
        </w:rPr>
        <w:t>BH Macro Limited (“BHM") is a feeder fund investing in Brevan Howard Master Fund Limited (the "Fund").  Brevan Howard Capital Management LP (“BHCM”) has supplied certain information herein regarding BHM’s and the Fund’s performance and outlook.</w:t>
      </w:r>
    </w:p>
    <w:p w14:paraId="0FDE9536" w14:textId="77777777" w:rsidR="007A4D7C" w:rsidRPr="007A4D7C" w:rsidRDefault="007A4D7C" w:rsidP="007A4D7C">
      <w:pPr>
        <w:spacing w:after="120" w:line="288" w:lineRule="auto"/>
        <w:jc w:val="both"/>
        <w:rPr>
          <w:rFonts w:ascii="Arial" w:eastAsia="Times New Roman" w:hAnsi="Arial" w:cs="Arial"/>
          <w:sz w:val="18"/>
          <w:szCs w:val="18"/>
        </w:rPr>
      </w:pPr>
      <w:r w:rsidRPr="007A4D7C">
        <w:rPr>
          <w:rFonts w:ascii="Arial" w:eastAsia="Times New Roman" w:hAnsi="Arial" w:cs="Arial"/>
          <w:sz w:val="18"/>
          <w:szCs w:val="18"/>
        </w:rPr>
        <w:t xml:space="preserve">The material relating to BHM and the Fund included in this report is provided for information purposes only, does not constitute an invitation or offer to subscribe for or purchase shares in BHM or the Fund and is not intended to constitute “marketing” of either BHM or the Fund as such term is understood for the purposes of the Alternative Investment Fund Managers Directive as it has been implemented in states of the European Economic Area. This material is not intended to provide a sufficient basis on which to make an investment decision. Information and opinions presented in this material relating to BHM and the Fund have been obtained or derived from sources believed to be reliable, but none of BHM, the Fund or BHCM make any representation as to their accuracy or completeness. Any estimates may be subject to error and significant fluctuation, especially during periods of high market volatility or disruption. Any estimates should be taken as indicative values only and no reliance should be placed on them. Estimated results, performance or achievements may materially differ from any actual results, performance or achievements. Except as required by applicable law, BHM, the Fund and BHCM expressly disclaim any obligations to update or revise such estimates to reflect any change in expectations, new information, subsequent events or otherwise. </w:t>
      </w:r>
    </w:p>
    <w:p w14:paraId="0FDE9537" w14:textId="77777777" w:rsidR="007A4D7C" w:rsidRPr="007A4D7C" w:rsidRDefault="007A4D7C" w:rsidP="007A4D7C">
      <w:pPr>
        <w:spacing w:after="120" w:line="288" w:lineRule="auto"/>
        <w:jc w:val="both"/>
        <w:rPr>
          <w:rFonts w:ascii="Arial" w:eastAsia="Times New Roman" w:hAnsi="Arial" w:cs="Arial"/>
          <w:sz w:val="18"/>
          <w:szCs w:val="18"/>
        </w:rPr>
      </w:pPr>
      <w:r w:rsidRPr="007A4D7C">
        <w:rPr>
          <w:rFonts w:ascii="Arial" w:eastAsia="Times New Roman" w:hAnsi="Arial" w:cs="Arial"/>
          <w:sz w:val="18"/>
          <w:szCs w:val="18"/>
        </w:rPr>
        <w:t>Tax treatment depends on the individual circumstances of each investor in BHM and may be subject to change in the future. Returns may increase or decrease as a result of currency fluctuations.</w:t>
      </w:r>
    </w:p>
    <w:p w14:paraId="0FDE9538" w14:textId="77777777" w:rsidR="007A4D7C" w:rsidRPr="007A4D7C" w:rsidRDefault="007A4D7C" w:rsidP="007A4D7C">
      <w:pPr>
        <w:spacing w:after="120" w:line="288" w:lineRule="auto"/>
        <w:jc w:val="both"/>
        <w:rPr>
          <w:rFonts w:ascii="Arial" w:eastAsia="Times New Roman" w:hAnsi="Arial" w:cs="Arial"/>
          <w:sz w:val="18"/>
          <w:szCs w:val="18"/>
        </w:rPr>
      </w:pPr>
      <w:r w:rsidRPr="007A4D7C">
        <w:rPr>
          <w:rFonts w:ascii="Arial" w:eastAsia="Times New Roman" w:hAnsi="Arial" w:cs="Arial"/>
          <w:sz w:val="18"/>
          <w:szCs w:val="18"/>
        </w:rPr>
        <w:t>You should note that, if you invest in BHM, your capital will be at risk and you may therefore lose some or all of any amount that you choose to invest. This material is not intended to constitute, and should not be construed as, investment advice.  All investments are subject to risk. You are advised to seek expert legal, financial, tax and other professional advice before making any investment decisions.</w:t>
      </w:r>
    </w:p>
    <w:p w14:paraId="0FDE9539" w14:textId="77777777" w:rsidR="007A4D7C" w:rsidRPr="007A4D7C" w:rsidRDefault="007A4D7C" w:rsidP="007A4D7C">
      <w:pPr>
        <w:spacing w:after="0" w:line="240" w:lineRule="auto"/>
        <w:rPr>
          <w:rFonts w:ascii="Times New Roman" w:eastAsia="Times New Roman" w:hAnsi="Times New Roman" w:cs="Times New Roman"/>
          <w:sz w:val="24"/>
          <w:szCs w:val="24"/>
        </w:rPr>
      </w:pPr>
    </w:p>
    <w:p w14:paraId="0FDE953A" w14:textId="400EA540" w:rsidR="007A4D7C" w:rsidRPr="007A4D7C" w:rsidRDefault="007A4D7C" w:rsidP="007A4D7C">
      <w:pPr>
        <w:spacing w:after="120" w:line="288" w:lineRule="auto"/>
        <w:jc w:val="both"/>
        <w:rPr>
          <w:rFonts w:ascii="Arial" w:eastAsia="Times New Roman" w:hAnsi="Arial" w:cs="Arial"/>
          <w:b/>
          <w:sz w:val="18"/>
          <w:szCs w:val="18"/>
        </w:rPr>
      </w:pPr>
      <w:r w:rsidRPr="007A4D7C">
        <w:rPr>
          <w:rFonts w:ascii="Arial" w:eastAsia="Times New Roman" w:hAnsi="Arial" w:cs="Arial"/>
          <w:b/>
          <w:sz w:val="18"/>
          <w:szCs w:val="18"/>
        </w:rPr>
        <w:t>THE VALUE OF INVESTMENTS CAN GO DOWN AS WELL AS UP.  YOU MAY NOT GET BACK THE AMOUNT ORIGINALLY INVESTED AND YOU MAY LOSE ALL OF YOUR INVESTMENT.  PAST PERFORMANCE IS NOT A RELIABLE INDICATOR OF FUTURE RESULTS</w:t>
      </w:r>
      <w:r w:rsidR="00EB2F90">
        <w:rPr>
          <w:rFonts w:ascii="Arial" w:eastAsia="Times New Roman" w:hAnsi="Arial" w:cs="Arial"/>
          <w:b/>
          <w:sz w:val="18"/>
          <w:szCs w:val="18"/>
        </w:rPr>
        <w:t>.</w:t>
      </w:r>
    </w:p>
    <w:p w14:paraId="0FDE953B" w14:textId="77777777" w:rsidR="007A4D7C" w:rsidRPr="007A4D7C" w:rsidRDefault="007A4D7C" w:rsidP="007A4D7C">
      <w:pPr>
        <w:pageBreakBefore/>
        <w:spacing w:before="80" w:after="0" w:line="288" w:lineRule="auto"/>
        <w:jc w:val="both"/>
        <w:rPr>
          <w:rFonts w:ascii="Arial" w:eastAsia="Times New Roman" w:hAnsi="Arial" w:cs="Arial"/>
          <w:sz w:val="18"/>
          <w:szCs w:val="18"/>
        </w:rPr>
      </w:pPr>
      <w:bookmarkStart w:id="10" w:name="LastPageDisclaimer"/>
      <w:bookmarkEnd w:id="10"/>
      <w:r w:rsidRPr="007A4D7C">
        <w:rPr>
          <w:rFonts w:ascii="Arial" w:eastAsia="Times New Roman" w:hAnsi="Arial" w:cs="Arial"/>
          <w:sz w:val="18"/>
          <w:szCs w:val="18"/>
        </w:rPr>
        <w:lastRenderedPageBreak/>
        <w:t>Risk Factors</w:t>
      </w:r>
    </w:p>
    <w:p w14:paraId="0FDE953C" w14:textId="0FFEDADB"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Acquiring shares in BHM may expose an investor to a significant risk of losing all of the amount invested. Any person who is in any doubt about investing in BHM (and therefore gaining exposure to the Fund) should consult an authorised person specialising in advising on such investments. Any person acquiring shares in BHM must be able to bear the risks involved. These include the followin</w:t>
      </w:r>
      <w:r w:rsidR="004672D4">
        <w:rPr>
          <w:rFonts w:ascii="Arial" w:eastAsia="Times New Roman" w:hAnsi="Arial" w:cs="Arial"/>
          <w:sz w:val="18"/>
          <w:szCs w:val="18"/>
        </w:rPr>
        <w:t>g</w:t>
      </w:r>
      <w:r w:rsidRPr="007A4D7C">
        <w:rPr>
          <w:rFonts w:ascii="Arial" w:eastAsia="Times New Roman" w:hAnsi="Arial" w:cs="Arial"/>
          <w:sz w:val="18"/>
          <w:szCs w:val="18"/>
        </w:rPr>
        <w:t>:</w:t>
      </w:r>
    </w:p>
    <w:p w14:paraId="0FDE953D"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is speculative and involves substantial risk.</w:t>
      </w:r>
    </w:p>
    <w:p w14:paraId="0FDE953E"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will be leveraged and will engage in speculative investment practices that may increase the risk of investment loss. The Fund may invest in illiquid securities.</w:t>
      </w:r>
    </w:p>
    <w:p w14:paraId="0FDE953F"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Past results of the Fund’s investment managers are not necessarily indicative of future performance of the Fund, and the Fund’s performance may be volatile.</w:t>
      </w:r>
    </w:p>
    <w:p w14:paraId="0FDE9540"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An investor could lose all or a substantial amount of his or her investment.</w:t>
      </w:r>
    </w:p>
    <w:p w14:paraId="0FDE9541"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Fund’s investment managers have total investment and trading authority over the Fund, and the Fund is dependent upon the services of the investment managers.</w:t>
      </w:r>
    </w:p>
    <w:p w14:paraId="0FDE9542"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Investments in the Fund are subject to restrictions on withdrawal or redemption and should be considered illiquid. There is no secondary market for investors’ interests in the Fund and none is expected to develop.</w:t>
      </w:r>
    </w:p>
    <w:p w14:paraId="0FDE9543"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investment managers’ incentive compensation, fees and expenses may offset the Fund’s trading and investment profits.</w:t>
      </w:r>
    </w:p>
    <w:p w14:paraId="0FDE9544"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is not required to provide periodic pricing or valuation information to investors with respect to individual investments.</w:t>
      </w:r>
    </w:p>
    <w:p w14:paraId="0FDE9545"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is not subject to the same regulatory requirements as mutual funds.</w:t>
      </w:r>
    </w:p>
    <w:p w14:paraId="0FDE9546"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A portion of the trades executed for the Fund may take place on foreign markets.</w:t>
      </w:r>
    </w:p>
    <w:p w14:paraId="0FDE9547"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and its investment managers are subject to conflicts of interest.</w:t>
      </w:r>
    </w:p>
    <w:p w14:paraId="0FDE9548"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is dependent on the services of certain key personnel, and, were certain or all of them to become unavailable, the Fund may prematurely terminate.</w:t>
      </w:r>
    </w:p>
    <w:p w14:paraId="0FDE9549"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Fund’s managers will receive performance-based compensation. Such compensation may give such managers an incentive to make riskier investments than they otherwise would.</w:t>
      </w:r>
    </w:p>
    <w:p w14:paraId="0FDE954A"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may make investments in securities of issuers in emerging markets. Investment in emerging markets involve particular risks, such as less strict market regulation, increased likelihood of severe inflation, unstable currencies, war, expropriation of property, limitations on foreign investments, increased market volatility, less favourable or unstable tax provisions, illiquid markets and social and political upheaval.</w:t>
      </w:r>
    </w:p>
    <w:p w14:paraId="0FDE954B"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The above summary risk factors do not purport to be a complete description of the relevant risks of an investment in shares of BHM or the Fund and therefore reference should be made to publicly available documents and information.</w:t>
      </w:r>
    </w:p>
    <w:p w14:paraId="0FDE954D" w14:textId="77777777" w:rsidR="00BF2F03" w:rsidRDefault="00BF2F03">
      <w:pPr>
        <w:rPr>
          <w:rFonts w:ascii="Arial" w:hAnsi="Arial" w:cs="Arial"/>
          <w:sz w:val="20"/>
          <w:szCs w:val="20"/>
        </w:rPr>
      </w:pPr>
    </w:p>
    <w:sectPr w:rsidR="00BF2F03" w:rsidSect="00150045">
      <w:headerReference w:type="default" r:id="rId13"/>
      <w:footerReference w:type="default" r:id="rId14"/>
      <w:pgSz w:w="11906" w:h="16838"/>
      <w:pgMar w:top="3119" w:right="1134" w:bottom="899" w:left="1134" w:header="709"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8298A" w14:textId="77777777" w:rsidR="0080347E" w:rsidRDefault="0080347E">
      <w:pPr>
        <w:spacing w:after="0" w:line="240" w:lineRule="auto"/>
      </w:pPr>
      <w:r>
        <w:separator/>
      </w:r>
    </w:p>
  </w:endnote>
  <w:endnote w:type="continuationSeparator" w:id="0">
    <w:p w14:paraId="3DCDD47D" w14:textId="77777777" w:rsidR="0080347E" w:rsidRDefault="0080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eelawadee">
    <w:altName w:val="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432" w:type="dxa"/>
      <w:tblBorders>
        <w:top w:val="single" w:sz="2" w:space="0" w:color="DDDDDD"/>
      </w:tblBorders>
      <w:tblCellMar>
        <w:left w:w="10" w:type="dxa"/>
        <w:right w:w="10" w:type="dxa"/>
      </w:tblCellMar>
      <w:tblLook w:val="0000" w:firstRow="0" w:lastRow="0" w:firstColumn="0" w:lastColumn="0" w:noHBand="0" w:noVBand="0"/>
    </w:tblPr>
    <w:tblGrid>
      <w:gridCol w:w="10407"/>
      <w:gridCol w:w="393"/>
    </w:tblGrid>
    <w:tr w:rsidR="002B308A" w14:paraId="0FDE9560" w14:textId="77777777">
      <w:tc>
        <w:tcPr>
          <w:tcW w:w="4818" w:type="pct"/>
        </w:tcPr>
        <w:p w14:paraId="0FDE955B" w14:textId="77777777" w:rsidR="002B308A" w:rsidRDefault="002B308A">
          <w:pPr>
            <w:pStyle w:val="a4"/>
          </w:pPr>
        </w:p>
        <w:p w14:paraId="0FDE955C" w14:textId="77777777" w:rsidR="002B308A" w:rsidRDefault="002B308A">
          <w:pPr>
            <w:pStyle w:val="a4"/>
          </w:pPr>
          <w:r>
            <w:t>YOUR ATTENTION IS DRAWN TO THE DISCLAIMER SET OUT AT THE END OF THIS DOCUMENT.</w:t>
          </w:r>
        </w:p>
        <w:p w14:paraId="0FDE955D" w14:textId="79C235BB" w:rsidR="002B308A" w:rsidRDefault="002B308A" w:rsidP="00BB19FD">
          <w:pPr>
            <w:pStyle w:val="a4"/>
          </w:pPr>
          <w:r>
            <w:rPr>
              <w:rFonts w:hAnsi="Arial" w:cs="Arial"/>
              <w:szCs w:val="14"/>
            </w:rPr>
            <w:t>© BH MACRO LIMITED (2017). ALL RIGHTS RESERVED.</w:t>
          </w:r>
          <w:r>
            <w:rPr>
              <w:szCs w:val="14"/>
            </w:rPr>
            <w:t xml:space="preserve"> </w:t>
          </w:r>
          <w:r>
            <w:t xml:space="preserve">BMANL20170331. </w:t>
          </w:r>
        </w:p>
      </w:tc>
      <w:tc>
        <w:tcPr>
          <w:tcW w:w="0" w:type="auto"/>
        </w:tcPr>
        <w:p w14:paraId="0FDE955E" w14:textId="77777777" w:rsidR="002B308A" w:rsidRDefault="002B308A">
          <w:pPr>
            <w:pStyle w:val="a4"/>
          </w:pPr>
        </w:p>
        <w:p w14:paraId="0FDE955F" w14:textId="790C55D2" w:rsidR="002B308A" w:rsidRPr="0081584D" w:rsidRDefault="002B308A">
          <w:pPr>
            <w:pStyle w:val="a"/>
          </w:pPr>
          <w:r w:rsidRPr="0081584D">
            <w:rPr>
              <w:rStyle w:val="ab"/>
            </w:rPr>
            <w:fldChar w:fldCharType="begin"/>
          </w:r>
          <w:r w:rsidRPr="0081584D">
            <w:rPr>
              <w:rStyle w:val="ab"/>
            </w:rPr>
            <w:instrText>PAGE</w:instrText>
          </w:r>
          <w:r w:rsidRPr="0081584D">
            <w:rPr>
              <w:rStyle w:val="ab"/>
            </w:rPr>
            <w:fldChar w:fldCharType="separate"/>
          </w:r>
          <w:r w:rsidR="001648E5">
            <w:rPr>
              <w:rStyle w:val="ab"/>
              <w:noProof/>
            </w:rPr>
            <w:t>11</w:t>
          </w:r>
          <w:r w:rsidRPr="0081584D">
            <w:rPr>
              <w:rStyle w:val="a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E4E62" w14:textId="77777777" w:rsidR="0080347E" w:rsidRDefault="0080347E">
      <w:pPr>
        <w:spacing w:after="0" w:line="240" w:lineRule="auto"/>
      </w:pPr>
      <w:r>
        <w:separator/>
      </w:r>
    </w:p>
  </w:footnote>
  <w:footnote w:type="continuationSeparator" w:id="0">
    <w:p w14:paraId="3A556433" w14:textId="77777777" w:rsidR="0080347E" w:rsidRDefault="00803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horzAnchor="page" w:tblpX="710" w:tblpY="710"/>
      <w:tblOverlap w:val="never"/>
      <w:tblW w:w="10490" w:type="dxa"/>
      <w:tblCellMar>
        <w:left w:w="0" w:type="dxa"/>
        <w:right w:w="0" w:type="dxa"/>
      </w:tblCellMar>
      <w:tblLook w:val="0000" w:firstRow="0" w:lastRow="0" w:firstColumn="0" w:lastColumn="0" w:noHBand="0" w:noVBand="0"/>
    </w:tblPr>
    <w:tblGrid>
      <w:gridCol w:w="10490"/>
    </w:tblGrid>
    <w:tr w:rsidR="002B308A" w14:paraId="0FDE9555" w14:textId="77777777">
      <w:trPr>
        <w:trHeight w:hRule="exact" w:val="200"/>
      </w:trPr>
      <w:tc>
        <w:tcPr>
          <w:tcW w:w="0" w:type="auto"/>
          <w:shd w:val="clear" w:color="auto" w:fill="DDDDDD"/>
        </w:tcPr>
        <w:p w14:paraId="0FDE9554" w14:textId="77777777" w:rsidR="002B308A" w:rsidRDefault="002B308A">
          <w:pPr>
            <w:pStyle w:val="a"/>
          </w:pPr>
        </w:p>
      </w:tc>
    </w:tr>
    <w:tr w:rsidR="002B308A" w14:paraId="0FDE9558" w14:textId="77777777" w:rsidTr="006F5231">
      <w:trPr>
        <w:trHeight w:hRule="exact" w:val="1350"/>
      </w:trPr>
      <w:tc>
        <w:tcPr>
          <w:tcW w:w="0" w:type="auto"/>
          <w:shd w:val="clear" w:color="auto" w:fill="BC5E1E"/>
          <w:tcMar>
            <w:top w:w="130" w:type="dxa"/>
            <w:left w:w="284" w:type="dxa"/>
            <w:bottom w:w="130" w:type="dxa"/>
          </w:tcMar>
        </w:tcPr>
        <w:p w14:paraId="0FDE9556" w14:textId="77777777" w:rsidR="002B308A" w:rsidRDefault="002B308A">
          <w:pPr>
            <w:pStyle w:val="a2"/>
          </w:pPr>
          <w:r>
            <w:rPr>
              <w:noProof/>
              <w:lang w:val="en-US" w:eastAsia="en-US"/>
            </w:rPr>
            <w:drawing>
              <wp:anchor distT="0" distB="0" distL="114300" distR="114300" simplePos="0" relativeHeight="251658240" behindDoc="0" locked="0" layoutInCell="1" allowOverlap="1" wp14:anchorId="0FDE9561" wp14:editId="0FDE9562">
                <wp:simplePos x="0" y="0"/>
                <wp:positionH relativeFrom="column">
                  <wp:posOffset>4800000</wp:posOffset>
                </wp:positionH>
                <wp:positionV relativeFrom="paragraph">
                  <wp:posOffset>36521</wp:posOffset>
                </wp:positionV>
                <wp:extent cx="1520000" cy="130000"/>
                <wp:effectExtent l="0" t="0" r="0" b="0"/>
                <wp:wrapSquare wrapText="bothSides"/>
                <wp:docPr id="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pic:nvPicPr>
                      <pic:blipFill>
                        <a:blip r:embed="rId1" cstate="print">
                          <a:extLst/>
                        </a:blip>
                        <a:stretch>
                          <a:fillRect/>
                        </a:stretch>
                      </pic:blipFill>
                      <pic:spPr>
                        <a:xfrm>
                          <a:off x="0" y="0"/>
                          <a:ext cx="1520000" cy="130000"/>
                        </a:xfrm>
                        <a:prstGeom prst="rect">
                          <a:avLst/>
                        </a:prstGeom>
                      </pic:spPr>
                    </pic:pic>
                  </a:graphicData>
                </a:graphic>
              </wp:anchor>
            </w:drawing>
          </w:r>
          <w:r>
            <w:t>BH MACRO Limited</w:t>
          </w:r>
        </w:p>
        <w:p w14:paraId="0FDE9557" w14:textId="4E9A94A7" w:rsidR="002B308A" w:rsidRDefault="002B308A" w:rsidP="00BB19FD">
          <w:pPr>
            <w:pStyle w:val="a3"/>
          </w:pPr>
          <w:r>
            <w:rPr>
              <w:color w:val="FFFFFF" w:themeColor="background1"/>
            </w:rPr>
            <w:t>MONTHLY SHAREHOLDER REPORT: MARCH 2017</w:t>
          </w:r>
        </w:p>
      </w:tc>
    </w:tr>
    <w:tr w:rsidR="002B308A" w14:paraId="0FDE955A" w14:textId="77777777">
      <w:tc>
        <w:tcPr>
          <w:tcW w:w="0" w:type="auto"/>
          <w:tcMar>
            <w:right w:w="284" w:type="dxa"/>
          </w:tcMar>
        </w:tcPr>
        <w:p w14:paraId="0FDE9559" w14:textId="77777777" w:rsidR="002B308A" w:rsidRDefault="001648E5" w:rsidP="00281A7A">
          <w:pPr>
            <w:pStyle w:val="a"/>
            <w:spacing w:before="150" w:after="250"/>
            <w:jc w:val="right"/>
          </w:pPr>
          <w:hyperlink r:id="rId2" w:history="1">
            <w:r w:rsidR="002B308A" w:rsidRPr="00C21FC7">
              <w:rPr>
                <w:rStyle w:val="Hyperlink"/>
                <w:sz w:val="16"/>
              </w:rPr>
              <w:t>www.bhmacro.com</w:t>
            </w:r>
          </w:hyperlink>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E47AF"/>
    <w:multiLevelType w:val="hybridMultilevel"/>
    <w:tmpl w:val="8FA058C8"/>
    <w:lvl w:ilvl="0" w:tplc="3F5AD1C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05D42"/>
    <w:multiLevelType w:val="hybridMultilevel"/>
    <w:tmpl w:val="3C3E7A34"/>
    <w:lvl w:ilvl="0" w:tplc="434C357C">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E6"/>
    <w:rsid w:val="00000320"/>
    <w:rsid w:val="00002295"/>
    <w:rsid w:val="000107A3"/>
    <w:rsid w:val="000163C5"/>
    <w:rsid w:val="000172AD"/>
    <w:rsid w:val="00020CD9"/>
    <w:rsid w:val="00022916"/>
    <w:rsid w:val="00022FA8"/>
    <w:rsid w:val="00025D0C"/>
    <w:rsid w:val="0002657C"/>
    <w:rsid w:val="00034D05"/>
    <w:rsid w:val="00037DA9"/>
    <w:rsid w:val="000410E6"/>
    <w:rsid w:val="00045D21"/>
    <w:rsid w:val="000506E4"/>
    <w:rsid w:val="000578B1"/>
    <w:rsid w:val="00062454"/>
    <w:rsid w:val="00066EBD"/>
    <w:rsid w:val="00067746"/>
    <w:rsid w:val="0006779B"/>
    <w:rsid w:val="00067C01"/>
    <w:rsid w:val="00070122"/>
    <w:rsid w:val="0007167C"/>
    <w:rsid w:val="00076619"/>
    <w:rsid w:val="0008021C"/>
    <w:rsid w:val="00080EF2"/>
    <w:rsid w:val="000816C5"/>
    <w:rsid w:val="00085857"/>
    <w:rsid w:val="00090857"/>
    <w:rsid w:val="00095A58"/>
    <w:rsid w:val="000A4326"/>
    <w:rsid w:val="000B07DD"/>
    <w:rsid w:val="000B1259"/>
    <w:rsid w:val="000B2452"/>
    <w:rsid w:val="000B2A68"/>
    <w:rsid w:val="000B2FF9"/>
    <w:rsid w:val="000B4490"/>
    <w:rsid w:val="000B4A7B"/>
    <w:rsid w:val="000B6283"/>
    <w:rsid w:val="000B70EF"/>
    <w:rsid w:val="000B7B84"/>
    <w:rsid w:val="000C27FC"/>
    <w:rsid w:val="000C5216"/>
    <w:rsid w:val="000E3A80"/>
    <w:rsid w:val="000E41F6"/>
    <w:rsid w:val="000E6993"/>
    <w:rsid w:val="000E6FD2"/>
    <w:rsid w:val="000F0B3E"/>
    <w:rsid w:val="000F3EB7"/>
    <w:rsid w:val="000F3EEE"/>
    <w:rsid w:val="000F5A97"/>
    <w:rsid w:val="000F7A70"/>
    <w:rsid w:val="001066A4"/>
    <w:rsid w:val="00107666"/>
    <w:rsid w:val="00110C3F"/>
    <w:rsid w:val="001150CA"/>
    <w:rsid w:val="001231F7"/>
    <w:rsid w:val="00125AFB"/>
    <w:rsid w:val="00125B0D"/>
    <w:rsid w:val="00136A51"/>
    <w:rsid w:val="00136B7C"/>
    <w:rsid w:val="001376BF"/>
    <w:rsid w:val="00137861"/>
    <w:rsid w:val="00137CD5"/>
    <w:rsid w:val="0014375C"/>
    <w:rsid w:val="00145FC5"/>
    <w:rsid w:val="00150045"/>
    <w:rsid w:val="0015031E"/>
    <w:rsid w:val="00160E15"/>
    <w:rsid w:val="00161A5F"/>
    <w:rsid w:val="001648E5"/>
    <w:rsid w:val="00170BA2"/>
    <w:rsid w:val="00171FF8"/>
    <w:rsid w:val="00176464"/>
    <w:rsid w:val="001808FC"/>
    <w:rsid w:val="001811DE"/>
    <w:rsid w:val="00181C7C"/>
    <w:rsid w:val="0019064E"/>
    <w:rsid w:val="0019134C"/>
    <w:rsid w:val="00191DA3"/>
    <w:rsid w:val="00192DB9"/>
    <w:rsid w:val="00195A16"/>
    <w:rsid w:val="00197608"/>
    <w:rsid w:val="00197996"/>
    <w:rsid w:val="001A0C9D"/>
    <w:rsid w:val="001A2193"/>
    <w:rsid w:val="001A3784"/>
    <w:rsid w:val="001A5FD7"/>
    <w:rsid w:val="001A710A"/>
    <w:rsid w:val="001B5C7C"/>
    <w:rsid w:val="001B66D1"/>
    <w:rsid w:val="001B7F0E"/>
    <w:rsid w:val="001C0B9A"/>
    <w:rsid w:val="001C473E"/>
    <w:rsid w:val="001D16BB"/>
    <w:rsid w:val="001D1A0C"/>
    <w:rsid w:val="001D2029"/>
    <w:rsid w:val="001D2AFD"/>
    <w:rsid w:val="001D6AF3"/>
    <w:rsid w:val="001E05A5"/>
    <w:rsid w:val="001E2754"/>
    <w:rsid w:val="001E673C"/>
    <w:rsid w:val="001E6BBF"/>
    <w:rsid w:val="001E70FA"/>
    <w:rsid w:val="001E7272"/>
    <w:rsid w:val="001F5DA1"/>
    <w:rsid w:val="001F7BE8"/>
    <w:rsid w:val="00201BC8"/>
    <w:rsid w:val="002036EF"/>
    <w:rsid w:val="002154C0"/>
    <w:rsid w:val="00215537"/>
    <w:rsid w:val="00224200"/>
    <w:rsid w:val="00225D1D"/>
    <w:rsid w:val="0023128C"/>
    <w:rsid w:val="002338D4"/>
    <w:rsid w:val="0023777D"/>
    <w:rsid w:val="00237F1B"/>
    <w:rsid w:val="002400C7"/>
    <w:rsid w:val="002413F8"/>
    <w:rsid w:val="002420A5"/>
    <w:rsid w:val="00243E45"/>
    <w:rsid w:val="002455A5"/>
    <w:rsid w:val="00251994"/>
    <w:rsid w:val="00254F0A"/>
    <w:rsid w:val="00257B14"/>
    <w:rsid w:val="00257DEB"/>
    <w:rsid w:val="00261369"/>
    <w:rsid w:val="002628E2"/>
    <w:rsid w:val="00264D4A"/>
    <w:rsid w:val="00271399"/>
    <w:rsid w:val="002715FA"/>
    <w:rsid w:val="00272FEF"/>
    <w:rsid w:val="002756DB"/>
    <w:rsid w:val="0027578B"/>
    <w:rsid w:val="002772AB"/>
    <w:rsid w:val="00277F86"/>
    <w:rsid w:val="00280476"/>
    <w:rsid w:val="00281A7A"/>
    <w:rsid w:val="002839A4"/>
    <w:rsid w:val="002A0199"/>
    <w:rsid w:val="002A3766"/>
    <w:rsid w:val="002A56CC"/>
    <w:rsid w:val="002B12A1"/>
    <w:rsid w:val="002B27A5"/>
    <w:rsid w:val="002B308A"/>
    <w:rsid w:val="002B4ECB"/>
    <w:rsid w:val="002B57DC"/>
    <w:rsid w:val="002C1031"/>
    <w:rsid w:val="002C35BE"/>
    <w:rsid w:val="002C3AA6"/>
    <w:rsid w:val="002C3D93"/>
    <w:rsid w:val="002C41A8"/>
    <w:rsid w:val="002D1BFB"/>
    <w:rsid w:val="002D20BE"/>
    <w:rsid w:val="002D26FD"/>
    <w:rsid w:val="002D504F"/>
    <w:rsid w:val="002D54E4"/>
    <w:rsid w:val="002E377D"/>
    <w:rsid w:val="002E5F5E"/>
    <w:rsid w:val="002E6A3F"/>
    <w:rsid w:val="002E7321"/>
    <w:rsid w:val="002F26AF"/>
    <w:rsid w:val="002F313C"/>
    <w:rsid w:val="00300C0A"/>
    <w:rsid w:val="0031037B"/>
    <w:rsid w:val="00311E55"/>
    <w:rsid w:val="003219D5"/>
    <w:rsid w:val="00321E13"/>
    <w:rsid w:val="0032324F"/>
    <w:rsid w:val="00327093"/>
    <w:rsid w:val="00333B4F"/>
    <w:rsid w:val="00333B9A"/>
    <w:rsid w:val="003356F0"/>
    <w:rsid w:val="0033774C"/>
    <w:rsid w:val="00342D8C"/>
    <w:rsid w:val="00355586"/>
    <w:rsid w:val="00356F1A"/>
    <w:rsid w:val="00362137"/>
    <w:rsid w:val="00362F90"/>
    <w:rsid w:val="0036546B"/>
    <w:rsid w:val="00375F75"/>
    <w:rsid w:val="003767BF"/>
    <w:rsid w:val="00383575"/>
    <w:rsid w:val="00386825"/>
    <w:rsid w:val="003868E7"/>
    <w:rsid w:val="00386B29"/>
    <w:rsid w:val="00390431"/>
    <w:rsid w:val="00390E0C"/>
    <w:rsid w:val="003A12D4"/>
    <w:rsid w:val="003A3778"/>
    <w:rsid w:val="003A62D6"/>
    <w:rsid w:val="003B311F"/>
    <w:rsid w:val="003B7B22"/>
    <w:rsid w:val="003C0F64"/>
    <w:rsid w:val="003C6890"/>
    <w:rsid w:val="003C7936"/>
    <w:rsid w:val="003D675A"/>
    <w:rsid w:val="003E491F"/>
    <w:rsid w:val="003E65E4"/>
    <w:rsid w:val="003F02A1"/>
    <w:rsid w:val="003F2F55"/>
    <w:rsid w:val="004014E9"/>
    <w:rsid w:val="00405572"/>
    <w:rsid w:val="00411A8C"/>
    <w:rsid w:val="00415508"/>
    <w:rsid w:val="004165D0"/>
    <w:rsid w:val="0042622D"/>
    <w:rsid w:val="0043091F"/>
    <w:rsid w:val="00432D84"/>
    <w:rsid w:val="00436531"/>
    <w:rsid w:val="0043685C"/>
    <w:rsid w:val="004401B9"/>
    <w:rsid w:val="004401C3"/>
    <w:rsid w:val="00442B2F"/>
    <w:rsid w:val="00446CEA"/>
    <w:rsid w:val="0045147E"/>
    <w:rsid w:val="0045233C"/>
    <w:rsid w:val="0045614A"/>
    <w:rsid w:val="004605EB"/>
    <w:rsid w:val="00462FB4"/>
    <w:rsid w:val="00463607"/>
    <w:rsid w:val="00464BE6"/>
    <w:rsid w:val="004672D4"/>
    <w:rsid w:val="00470D77"/>
    <w:rsid w:val="0047197A"/>
    <w:rsid w:val="00472FF0"/>
    <w:rsid w:val="0047416B"/>
    <w:rsid w:val="004825EB"/>
    <w:rsid w:val="00484498"/>
    <w:rsid w:val="00484765"/>
    <w:rsid w:val="004854F4"/>
    <w:rsid w:val="004859CD"/>
    <w:rsid w:val="00492C30"/>
    <w:rsid w:val="00494DE4"/>
    <w:rsid w:val="004950C3"/>
    <w:rsid w:val="004952FB"/>
    <w:rsid w:val="004B3592"/>
    <w:rsid w:val="004B419F"/>
    <w:rsid w:val="004B44B1"/>
    <w:rsid w:val="004B79AA"/>
    <w:rsid w:val="004C66E3"/>
    <w:rsid w:val="004C6D3A"/>
    <w:rsid w:val="004D7B72"/>
    <w:rsid w:val="004E0B2B"/>
    <w:rsid w:val="004E2B03"/>
    <w:rsid w:val="004E6557"/>
    <w:rsid w:val="004F689D"/>
    <w:rsid w:val="0050147B"/>
    <w:rsid w:val="00501D97"/>
    <w:rsid w:val="005054A9"/>
    <w:rsid w:val="00507DC5"/>
    <w:rsid w:val="005109E8"/>
    <w:rsid w:val="005157B1"/>
    <w:rsid w:val="00517130"/>
    <w:rsid w:val="005211B0"/>
    <w:rsid w:val="005277A1"/>
    <w:rsid w:val="00535A89"/>
    <w:rsid w:val="00541E1B"/>
    <w:rsid w:val="005462A9"/>
    <w:rsid w:val="00546D6F"/>
    <w:rsid w:val="00551DFC"/>
    <w:rsid w:val="005609AB"/>
    <w:rsid w:val="00564AFC"/>
    <w:rsid w:val="0056621B"/>
    <w:rsid w:val="005666DC"/>
    <w:rsid w:val="00571627"/>
    <w:rsid w:val="00576C93"/>
    <w:rsid w:val="00580462"/>
    <w:rsid w:val="005810DC"/>
    <w:rsid w:val="00582646"/>
    <w:rsid w:val="00583254"/>
    <w:rsid w:val="005834BC"/>
    <w:rsid w:val="00583A6E"/>
    <w:rsid w:val="00585D04"/>
    <w:rsid w:val="0058797B"/>
    <w:rsid w:val="005902BE"/>
    <w:rsid w:val="00592FC2"/>
    <w:rsid w:val="005942EF"/>
    <w:rsid w:val="005A087C"/>
    <w:rsid w:val="005A0EF4"/>
    <w:rsid w:val="005A1025"/>
    <w:rsid w:val="005A1B9A"/>
    <w:rsid w:val="005A5F40"/>
    <w:rsid w:val="005B2E23"/>
    <w:rsid w:val="005C10FB"/>
    <w:rsid w:val="005D5054"/>
    <w:rsid w:val="005E0883"/>
    <w:rsid w:val="005E2151"/>
    <w:rsid w:val="005E57B9"/>
    <w:rsid w:val="005E684B"/>
    <w:rsid w:val="005F0917"/>
    <w:rsid w:val="00602C8E"/>
    <w:rsid w:val="006135BB"/>
    <w:rsid w:val="006141FF"/>
    <w:rsid w:val="006145B0"/>
    <w:rsid w:val="006207A0"/>
    <w:rsid w:val="006301B8"/>
    <w:rsid w:val="006360ED"/>
    <w:rsid w:val="00636680"/>
    <w:rsid w:val="00637634"/>
    <w:rsid w:val="00637E9C"/>
    <w:rsid w:val="00644132"/>
    <w:rsid w:val="00646B2C"/>
    <w:rsid w:val="00653459"/>
    <w:rsid w:val="006600F0"/>
    <w:rsid w:val="006643C5"/>
    <w:rsid w:val="00664B9B"/>
    <w:rsid w:val="0066581F"/>
    <w:rsid w:val="00667749"/>
    <w:rsid w:val="0067066E"/>
    <w:rsid w:val="006731B1"/>
    <w:rsid w:val="00673846"/>
    <w:rsid w:val="00673963"/>
    <w:rsid w:val="00674259"/>
    <w:rsid w:val="00675661"/>
    <w:rsid w:val="00676DBC"/>
    <w:rsid w:val="006823A4"/>
    <w:rsid w:val="00684B82"/>
    <w:rsid w:val="00690503"/>
    <w:rsid w:val="006910FB"/>
    <w:rsid w:val="006917B2"/>
    <w:rsid w:val="00695418"/>
    <w:rsid w:val="006956F3"/>
    <w:rsid w:val="006A3BF4"/>
    <w:rsid w:val="006A564F"/>
    <w:rsid w:val="006B0207"/>
    <w:rsid w:val="006B02FF"/>
    <w:rsid w:val="006B3074"/>
    <w:rsid w:val="006B470D"/>
    <w:rsid w:val="006B60AF"/>
    <w:rsid w:val="006B6246"/>
    <w:rsid w:val="006C1BF0"/>
    <w:rsid w:val="006C2DBE"/>
    <w:rsid w:val="006C3CC4"/>
    <w:rsid w:val="006D0AD3"/>
    <w:rsid w:val="006D2900"/>
    <w:rsid w:val="006D2A73"/>
    <w:rsid w:val="006D6289"/>
    <w:rsid w:val="006D7EBE"/>
    <w:rsid w:val="006E1455"/>
    <w:rsid w:val="006E30D1"/>
    <w:rsid w:val="006E4153"/>
    <w:rsid w:val="006E555B"/>
    <w:rsid w:val="006E5F6D"/>
    <w:rsid w:val="006E78A4"/>
    <w:rsid w:val="006F24FB"/>
    <w:rsid w:val="006F448A"/>
    <w:rsid w:val="006F5231"/>
    <w:rsid w:val="006F6400"/>
    <w:rsid w:val="006F6B06"/>
    <w:rsid w:val="00701304"/>
    <w:rsid w:val="007017FE"/>
    <w:rsid w:val="00710E9E"/>
    <w:rsid w:val="0071161F"/>
    <w:rsid w:val="0071595D"/>
    <w:rsid w:val="007224DE"/>
    <w:rsid w:val="00725D60"/>
    <w:rsid w:val="00727C4F"/>
    <w:rsid w:val="0073017E"/>
    <w:rsid w:val="007319A0"/>
    <w:rsid w:val="007378C3"/>
    <w:rsid w:val="00741B26"/>
    <w:rsid w:val="00742124"/>
    <w:rsid w:val="00744821"/>
    <w:rsid w:val="00747B5F"/>
    <w:rsid w:val="007529D9"/>
    <w:rsid w:val="0076101A"/>
    <w:rsid w:val="007629FC"/>
    <w:rsid w:val="00763BFB"/>
    <w:rsid w:val="00764174"/>
    <w:rsid w:val="00771DA3"/>
    <w:rsid w:val="00775C90"/>
    <w:rsid w:val="007802A2"/>
    <w:rsid w:val="00780FB7"/>
    <w:rsid w:val="00783911"/>
    <w:rsid w:val="007845F3"/>
    <w:rsid w:val="0078657F"/>
    <w:rsid w:val="00791D36"/>
    <w:rsid w:val="00797479"/>
    <w:rsid w:val="007A0982"/>
    <w:rsid w:val="007A0DC3"/>
    <w:rsid w:val="007A419E"/>
    <w:rsid w:val="007A4D7C"/>
    <w:rsid w:val="007A7258"/>
    <w:rsid w:val="007B1C2D"/>
    <w:rsid w:val="007B6BFB"/>
    <w:rsid w:val="007C24C9"/>
    <w:rsid w:val="007C3681"/>
    <w:rsid w:val="007C7D6B"/>
    <w:rsid w:val="007D50D6"/>
    <w:rsid w:val="007D61C2"/>
    <w:rsid w:val="007D6B06"/>
    <w:rsid w:val="007E085C"/>
    <w:rsid w:val="007E74F1"/>
    <w:rsid w:val="008022CF"/>
    <w:rsid w:val="008023BF"/>
    <w:rsid w:val="0080347E"/>
    <w:rsid w:val="0080462C"/>
    <w:rsid w:val="00805CAA"/>
    <w:rsid w:val="008072C4"/>
    <w:rsid w:val="00811990"/>
    <w:rsid w:val="0081584D"/>
    <w:rsid w:val="0082047C"/>
    <w:rsid w:val="00827A91"/>
    <w:rsid w:val="00832053"/>
    <w:rsid w:val="00833069"/>
    <w:rsid w:val="008351E6"/>
    <w:rsid w:val="00837DD6"/>
    <w:rsid w:val="00841024"/>
    <w:rsid w:val="00842179"/>
    <w:rsid w:val="008435D7"/>
    <w:rsid w:val="00843772"/>
    <w:rsid w:val="00850912"/>
    <w:rsid w:val="00861FCE"/>
    <w:rsid w:val="00867469"/>
    <w:rsid w:val="00873300"/>
    <w:rsid w:val="008737DE"/>
    <w:rsid w:val="00873BD7"/>
    <w:rsid w:val="008749A9"/>
    <w:rsid w:val="00876D94"/>
    <w:rsid w:val="008809FF"/>
    <w:rsid w:val="00880D6E"/>
    <w:rsid w:val="00881A13"/>
    <w:rsid w:val="00883285"/>
    <w:rsid w:val="00884C48"/>
    <w:rsid w:val="008855C6"/>
    <w:rsid w:val="0088614F"/>
    <w:rsid w:val="008866A5"/>
    <w:rsid w:val="00886CE1"/>
    <w:rsid w:val="00891308"/>
    <w:rsid w:val="00896A0C"/>
    <w:rsid w:val="00897DBC"/>
    <w:rsid w:val="008A6DA0"/>
    <w:rsid w:val="008B18B3"/>
    <w:rsid w:val="008B3441"/>
    <w:rsid w:val="008C7461"/>
    <w:rsid w:val="008D0EEF"/>
    <w:rsid w:val="008D1EB9"/>
    <w:rsid w:val="008D4677"/>
    <w:rsid w:val="008D5F27"/>
    <w:rsid w:val="008D69AE"/>
    <w:rsid w:val="008F4AAE"/>
    <w:rsid w:val="008F61E2"/>
    <w:rsid w:val="00901A98"/>
    <w:rsid w:val="00902AE8"/>
    <w:rsid w:val="0090556C"/>
    <w:rsid w:val="0091404F"/>
    <w:rsid w:val="0091516A"/>
    <w:rsid w:val="00923C50"/>
    <w:rsid w:val="00923CDF"/>
    <w:rsid w:val="00926A57"/>
    <w:rsid w:val="009275D7"/>
    <w:rsid w:val="009275E8"/>
    <w:rsid w:val="0093254D"/>
    <w:rsid w:val="009341A1"/>
    <w:rsid w:val="009341E3"/>
    <w:rsid w:val="00935800"/>
    <w:rsid w:val="00943E8D"/>
    <w:rsid w:val="0095042F"/>
    <w:rsid w:val="00950DB0"/>
    <w:rsid w:val="00953FE8"/>
    <w:rsid w:val="00955C47"/>
    <w:rsid w:val="0095618C"/>
    <w:rsid w:val="00956D76"/>
    <w:rsid w:val="009572A3"/>
    <w:rsid w:val="00961026"/>
    <w:rsid w:val="0096482A"/>
    <w:rsid w:val="009812E4"/>
    <w:rsid w:val="00987BE3"/>
    <w:rsid w:val="009933AE"/>
    <w:rsid w:val="00994E3C"/>
    <w:rsid w:val="009955BA"/>
    <w:rsid w:val="009A1FC4"/>
    <w:rsid w:val="009A2E08"/>
    <w:rsid w:val="009A382F"/>
    <w:rsid w:val="009A4BFA"/>
    <w:rsid w:val="009B1BE3"/>
    <w:rsid w:val="009C0A33"/>
    <w:rsid w:val="009C0FF0"/>
    <w:rsid w:val="009C5B92"/>
    <w:rsid w:val="009C63D3"/>
    <w:rsid w:val="009D3DE0"/>
    <w:rsid w:val="009F2264"/>
    <w:rsid w:val="009F42F2"/>
    <w:rsid w:val="009F4CCF"/>
    <w:rsid w:val="009F4F7B"/>
    <w:rsid w:val="009F7BD7"/>
    <w:rsid w:val="00A07A4E"/>
    <w:rsid w:val="00A16A96"/>
    <w:rsid w:val="00A25F6B"/>
    <w:rsid w:val="00A323C6"/>
    <w:rsid w:val="00A40A4A"/>
    <w:rsid w:val="00A4313A"/>
    <w:rsid w:val="00A458FC"/>
    <w:rsid w:val="00A46E8A"/>
    <w:rsid w:val="00A47E36"/>
    <w:rsid w:val="00A47E94"/>
    <w:rsid w:val="00A5374B"/>
    <w:rsid w:val="00A548A1"/>
    <w:rsid w:val="00A56FE4"/>
    <w:rsid w:val="00A60BCB"/>
    <w:rsid w:val="00A627AE"/>
    <w:rsid w:val="00A64531"/>
    <w:rsid w:val="00A64CCE"/>
    <w:rsid w:val="00A663E6"/>
    <w:rsid w:val="00A7248E"/>
    <w:rsid w:val="00A7286E"/>
    <w:rsid w:val="00A73BCF"/>
    <w:rsid w:val="00A745C9"/>
    <w:rsid w:val="00A82AB0"/>
    <w:rsid w:val="00A82FBB"/>
    <w:rsid w:val="00A82FE3"/>
    <w:rsid w:val="00A83E84"/>
    <w:rsid w:val="00A85287"/>
    <w:rsid w:val="00A90221"/>
    <w:rsid w:val="00A920AD"/>
    <w:rsid w:val="00AA33C0"/>
    <w:rsid w:val="00AA35AF"/>
    <w:rsid w:val="00AA5AA2"/>
    <w:rsid w:val="00AB2308"/>
    <w:rsid w:val="00AB7561"/>
    <w:rsid w:val="00AD0F7A"/>
    <w:rsid w:val="00AE4FE8"/>
    <w:rsid w:val="00AE7927"/>
    <w:rsid w:val="00AF3177"/>
    <w:rsid w:val="00AF7541"/>
    <w:rsid w:val="00B00277"/>
    <w:rsid w:val="00B01051"/>
    <w:rsid w:val="00B049A5"/>
    <w:rsid w:val="00B074D9"/>
    <w:rsid w:val="00B11116"/>
    <w:rsid w:val="00B13F2B"/>
    <w:rsid w:val="00B178FB"/>
    <w:rsid w:val="00B21688"/>
    <w:rsid w:val="00B23F58"/>
    <w:rsid w:val="00B26857"/>
    <w:rsid w:val="00B35483"/>
    <w:rsid w:val="00B40DC3"/>
    <w:rsid w:val="00B4476F"/>
    <w:rsid w:val="00B44CC3"/>
    <w:rsid w:val="00B4506C"/>
    <w:rsid w:val="00B45FCB"/>
    <w:rsid w:val="00B4640A"/>
    <w:rsid w:val="00B51E39"/>
    <w:rsid w:val="00B52A1D"/>
    <w:rsid w:val="00B55605"/>
    <w:rsid w:val="00B55C78"/>
    <w:rsid w:val="00B57245"/>
    <w:rsid w:val="00B602D4"/>
    <w:rsid w:val="00B60337"/>
    <w:rsid w:val="00B623F4"/>
    <w:rsid w:val="00B62567"/>
    <w:rsid w:val="00B62E9F"/>
    <w:rsid w:val="00B63F37"/>
    <w:rsid w:val="00B7554E"/>
    <w:rsid w:val="00B757CE"/>
    <w:rsid w:val="00B84D09"/>
    <w:rsid w:val="00B8570A"/>
    <w:rsid w:val="00B85E50"/>
    <w:rsid w:val="00B86D5B"/>
    <w:rsid w:val="00B87E66"/>
    <w:rsid w:val="00B901A3"/>
    <w:rsid w:val="00B91EA8"/>
    <w:rsid w:val="00B9444F"/>
    <w:rsid w:val="00B95CD1"/>
    <w:rsid w:val="00BA1285"/>
    <w:rsid w:val="00BA1BAD"/>
    <w:rsid w:val="00BB19FD"/>
    <w:rsid w:val="00BB327F"/>
    <w:rsid w:val="00BB3B18"/>
    <w:rsid w:val="00BB3D17"/>
    <w:rsid w:val="00BB3FCB"/>
    <w:rsid w:val="00BB7886"/>
    <w:rsid w:val="00BC446C"/>
    <w:rsid w:val="00BC4D4D"/>
    <w:rsid w:val="00BC70B2"/>
    <w:rsid w:val="00BC7F6B"/>
    <w:rsid w:val="00BD00D9"/>
    <w:rsid w:val="00BD156F"/>
    <w:rsid w:val="00BD4659"/>
    <w:rsid w:val="00BD75E6"/>
    <w:rsid w:val="00BE3651"/>
    <w:rsid w:val="00BE540F"/>
    <w:rsid w:val="00BE5AC2"/>
    <w:rsid w:val="00BE6F8E"/>
    <w:rsid w:val="00BF2A7B"/>
    <w:rsid w:val="00BF2F03"/>
    <w:rsid w:val="00BF419E"/>
    <w:rsid w:val="00BF543E"/>
    <w:rsid w:val="00C04BB8"/>
    <w:rsid w:val="00C05D1E"/>
    <w:rsid w:val="00C06487"/>
    <w:rsid w:val="00C06FED"/>
    <w:rsid w:val="00C23569"/>
    <w:rsid w:val="00C25B60"/>
    <w:rsid w:val="00C268A3"/>
    <w:rsid w:val="00C3019A"/>
    <w:rsid w:val="00C32D2C"/>
    <w:rsid w:val="00C33ED2"/>
    <w:rsid w:val="00C346D0"/>
    <w:rsid w:val="00C35245"/>
    <w:rsid w:val="00C360B3"/>
    <w:rsid w:val="00C3687D"/>
    <w:rsid w:val="00C40470"/>
    <w:rsid w:val="00C4107A"/>
    <w:rsid w:val="00C4386B"/>
    <w:rsid w:val="00C51D81"/>
    <w:rsid w:val="00C52936"/>
    <w:rsid w:val="00C53234"/>
    <w:rsid w:val="00C57666"/>
    <w:rsid w:val="00C6019B"/>
    <w:rsid w:val="00C61A11"/>
    <w:rsid w:val="00C61EFB"/>
    <w:rsid w:val="00C67685"/>
    <w:rsid w:val="00C7305A"/>
    <w:rsid w:val="00C83925"/>
    <w:rsid w:val="00C864AA"/>
    <w:rsid w:val="00C8672C"/>
    <w:rsid w:val="00C93200"/>
    <w:rsid w:val="00C956C8"/>
    <w:rsid w:val="00C95EA0"/>
    <w:rsid w:val="00CA0E62"/>
    <w:rsid w:val="00CA237C"/>
    <w:rsid w:val="00CA2956"/>
    <w:rsid w:val="00CA2C47"/>
    <w:rsid w:val="00CA55A8"/>
    <w:rsid w:val="00CA6752"/>
    <w:rsid w:val="00CB1029"/>
    <w:rsid w:val="00CB1966"/>
    <w:rsid w:val="00CB77AC"/>
    <w:rsid w:val="00CC0232"/>
    <w:rsid w:val="00CC07C4"/>
    <w:rsid w:val="00CC0EFE"/>
    <w:rsid w:val="00CC13C1"/>
    <w:rsid w:val="00CC3096"/>
    <w:rsid w:val="00CD03AD"/>
    <w:rsid w:val="00CD4BD4"/>
    <w:rsid w:val="00CD7CB1"/>
    <w:rsid w:val="00CE1678"/>
    <w:rsid w:val="00CE2E66"/>
    <w:rsid w:val="00CE4A07"/>
    <w:rsid w:val="00CE5B6A"/>
    <w:rsid w:val="00CE5D32"/>
    <w:rsid w:val="00CE7AD2"/>
    <w:rsid w:val="00CF0C2B"/>
    <w:rsid w:val="00CF21DB"/>
    <w:rsid w:val="00CF2426"/>
    <w:rsid w:val="00CF3291"/>
    <w:rsid w:val="00CF3D65"/>
    <w:rsid w:val="00D02595"/>
    <w:rsid w:val="00D03078"/>
    <w:rsid w:val="00D04D51"/>
    <w:rsid w:val="00D06108"/>
    <w:rsid w:val="00D0748E"/>
    <w:rsid w:val="00D10B64"/>
    <w:rsid w:val="00D1180D"/>
    <w:rsid w:val="00D22387"/>
    <w:rsid w:val="00D237C1"/>
    <w:rsid w:val="00D25504"/>
    <w:rsid w:val="00D27F6E"/>
    <w:rsid w:val="00D30A3C"/>
    <w:rsid w:val="00D31CD3"/>
    <w:rsid w:val="00D35859"/>
    <w:rsid w:val="00D3668F"/>
    <w:rsid w:val="00D43804"/>
    <w:rsid w:val="00D44031"/>
    <w:rsid w:val="00D50765"/>
    <w:rsid w:val="00D515BE"/>
    <w:rsid w:val="00D52B89"/>
    <w:rsid w:val="00D55D70"/>
    <w:rsid w:val="00D600FA"/>
    <w:rsid w:val="00D61CDB"/>
    <w:rsid w:val="00D70B8F"/>
    <w:rsid w:val="00D70EDD"/>
    <w:rsid w:val="00D85A25"/>
    <w:rsid w:val="00D90244"/>
    <w:rsid w:val="00D92894"/>
    <w:rsid w:val="00D94591"/>
    <w:rsid w:val="00D95BC0"/>
    <w:rsid w:val="00DA02C4"/>
    <w:rsid w:val="00DA3F32"/>
    <w:rsid w:val="00DA43F9"/>
    <w:rsid w:val="00DA5492"/>
    <w:rsid w:val="00DB0C95"/>
    <w:rsid w:val="00DB2673"/>
    <w:rsid w:val="00DB383D"/>
    <w:rsid w:val="00DB60CC"/>
    <w:rsid w:val="00DB658F"/>
    <w:rsid w:val="00DC04F9"/>
    <w:rsid w:val="00DC11F3"/>
    <w:rsid w:val="00DC34A0"/>
    <w:rsid w:val="00DC5E0A"/>
    <w:rsid w:val="00DC7228"/>
    <w:rsid w:val="00DD32D2"/>
    <w:rsid w:val="00DD58B1"/>
    <w:rsid w:val="00DD73EB"/>
    <w:rsid w:val="00DE1176"/>
    <w:rsid w:val="00DE4880"/>
    <w:rsid w:val="00DE4CA3"/>
    <w:rsid w:val="00DE4D31"/>
    <w:rsid w:val="00DE5717"/>
    <w:rsid w:val="00DF3EFB"/>
    <w:rsid w:val="00DF4DFC"/>
    <w:rsid w:val="00DF6F6C"/>
    <w:rsid w:val="00E0540C"/>
    <w:rsid w:val="00E11341"/>
    <w:rsid w:val="00E1235D"/>
    <w:rsid w:val="00E13A43"/>
    <w:rsid w:val="00E14DBE"/>
    <w:rsid w:val="00E14EB9"/>
    <w:rsid w:val="00E1631E"/>
    <w:rsid w:val="00E2470E"/>
    <w:rsid w:val="00E260F9"/>
    <w:rsid w:val="00E26441"/>
    <w:rsid w:val="00E321F7"/>
    <w:rsid w:val="00E32553"/>
    <w:rsid w:val="00E3359D"/>
    <w:rsid w:val="00E33F80"/>
    <w:rsid w:val="00E347C5"/>
    <w:rsid w:val="00E351E4"/>
    <w:rsid w:val="00E42613"/>
    <w:rsid w:val="00E42A5A"/>
    <w:rsid w:val="00E43F89"/>
    <w:rsid w:val="00E4441C"/>
    <w:rsid w:val="00E45D6B"/>
    <w:rsid w:val="00E46542"/>
    <w:rsid w:val="00E50029"/>
    <w:rsid w:val="00E53F6A"/>
    <w:rsid w:val="00E55069"/>
    <w:rsid w:val="00E55AE5"/>
    <w:rsid w:val="00E579F1"/>
    <w:rsid w:val="00E61249"/>
    <w:rsid w:val="00E65501"/>
    <w:rsid w:val="00E7012C"/>
    <w:rsid w:val="00E724B6"/>
    <w:rsid w:val="00E75B54"/>
    <w:rsid w:val="00E7758C"/>
    <w:rsid w:val="00E83899"/>
    <w:rsid w:val="00E843BD"/>
    <w:rsid w:val="00E93925"/>
    <w:rsid w:val="00E94A39"/>
    <w:rsid w:val="00E97699"/>
    <w:rsid w:val="00EB16DD"/>
    <w:rsid w:val="00EB2F90"/>
    <w:rsid w:val="00EC76E5"/>
    <w:rsid w:val="00EE1F6E"/>
    <w:rsid w:val="00EF2A8A"/>
    <w:rsid w:val="00EF3434"/>
    <w:rsid w:val="00EF6D27"/>
    <w:rsid w:val="00F0114B"/>
    <w:rsid w:val="00F1769B"/>
    <w:rsid w:val="00F17736"/>
    <w:rsid w:val="00F26200"/>
    <w:rsid w:val="00F26E24"/>
    <w:rsid w:val="00F34A53"/>
    <w:rsid w:val="00F36746"/>
    <w:rsid w:val="00F44754"/>
    <w:rsid w:val="00F54044"/>
    <w:rsid w:val="00F54760"/>
    <w:rsid w:val="00F552D9"/>
    <w:rsid w:val="00F6437F"/>
    <w:rsid w:val="00F6722A"/>
    <w:rsid w:val="00F70EF9"/>
    <w:rsid w:val="00F71838"/>
    <w:rsid w:val="00F71B3E"/>
    <w:rsid w:val="00F71D58"/>
    <w:rsid w:val="00F750B4"/>
    <w:rsid w:val="00F82F05"/>
    <w:rsid w:val="00F83960"/>
    <w:rsid w:val="00F85029"/>
    <w:rsid w:val="00F87D19"/>
    <w:rsid w:val="00F911B8"/>
    <w:rsid w:val="00F92E0F"/>
    <w:rsid w:val="00F93D7A"/>
    <w:rsid w:val="00F94C42"/>
    <w:rsid w:val="00F95DE1"/>
    <w:rsid w:val="00F97D7C"/>
    <w:rsid w:val="00FA16B6"/>
    <w:rsid w:val="00FA7BFC"/>
    <w:rsid w:val="00FB0097"/>
    <w:rsid w:val="00FB227F"/>
    <w:rsid w:val="00FB3669"/>
    <w:rsid w:val="00FB3FCE"/>
    <w:rsid w:val="00FB4515"/>
    <w:rsid w:val="00FB46B7"/>
    <w:rsid w:val="00FB7C93"/>
    <w:rsid w:val="00FC3DA3"/>
    <w:rsid w:val="00FC5F9C"/>
    <w:rsid w:val="00FC7B09"/>
    <w:rsid w:val="00FD2463"/>
    <w:rsid w:val="00FD50BE"/>
    <w:rsid w:val="00FD5F88"/>
    <w:rsid w:val="00FD74ED"/>
    <w:rsid w:val="00FE2B10"/>
    <w:rsid w:val="00FE5E89"/>
    <w:rsid w:val="00FF133C"/>
    <w:rsid w:val="00FF2A1B"/>
    <w:rsid w:val="00FF43CA"/>
    <w:rsid w:val="00FF502C"/>
    <w:rsid w:val="00FF71B9"/>
    <w:rsid w:val="00FF73A9"/>
    <w:rsid w:val="00FF7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DE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6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qFormat/>
    <w:pPr>
      <w:spacing w:before="40" w:after="60" w:line="240" w:lineRule="auto"/>
      <w:jc w:val="both"/>
    </w:pPr>
    <w:rPr>
      <w:rFonts w:ascii="Arial"/>
      <w:sz w:val="20"/>
    </w:rPr>
  </w:style>
  <w:style w:type="paragraph" w:customStyle="1" w:styleId="a0">
    <w:basedOn w:val="a"/>
    <w:pPr>
      <w:spacing w:before="120" w:after="0"/>
    </w:pPr>
    <w:rPr>
      <w:color w:val="C0C0C0"/>
      <w:sz w:val="16"/>
    </w:rPr>
  </w:style>
  <w:style w:type="paragraph" w:customStyle="1" w:styleId="a1">
    <w:basedOn w:val="a0"/>
    <w:pPr>
      <w:spacing w:before="80"/>
    </w:pPr>
  </w:style>
  <w:style w:type="paragraph" w:customStyle="1" w:styleId="a2">
    <w:basedOn w:val="a"/>
    <w:pPr>
      <w:spacing w:after="0" w:line="252" w:lineRule="auto"/>
      <w:jc w:val="left"/>
    </w:pPr>
    <w:rPr>
      <w:rFonts w:ascii="Arial Bold"/>
      <w:b/>
      <w:caps/>
      <w:color w:val="FFFFFF"/>
      <w:spacing w:val="-10"/>
      <w:kern w:val="28"/>
      <w:sz w:val="36"/>
    </w:rPr>
  </w:style>
  <w:style w:type="paragraph" w:customStyle="1" w:styleId="a3">
    <w:basedOn w:val="a2"/>
    <w:pPr>
      <w:spacing w:line="271" w:lineRule="auto"/>
    </w:pPr>
    <w:rPr>
      <w:color w:val="999999"/>
      <w:sz w:val="24"/>
    </w:rPr>
  </w:style>
  <w:style w:type="paragraph" w:customStyle="1" w:styleId="a4">
    <w:basedOn w:val="a"/>
    <w:pPr>
      <w:spacing w:before="0" w:after="20"/>
    </w:pPr>
    <w:rPr>
      <w:color w:val="C0C0C0"/>
      <w:sz w:val="14"/>
    </w:rPr>
  </w:style>
  <w:style w:type="paragraph" w:customStyle="1" w:styleId="a5">
    <w:basedOn w:val="a"/>
    <w:pPr>
      <w:spacing w:before="120"/>
    </w:pPr>
    <w:rPr>
      <w:b/>
      <w:color w:val="183358"/>
    </w:rPr>
  </w:style>
  <w:style w:type="paragraph" w:customStyle="1" w:styleId="a6">
    <w:basedOn w:val="a5"/>
    <w:pPr>
      <w:jc w:val="left"/>
    </w:pPr>
  </w:style>
  <w:style w:type="paragraph" w:customStyle="1" w:styleId="a7">
    <w:basedOn w:val="a"/>
    <w:pPr>
      <w:jc w:val="right"/>
    </w:pPr>
    <w:rPr>
      <w:sz w:val="13"/>
    </w:rPr>
  </w:style>
  <w:style w:type="character" w:customStyle="1" w:styleId="a8">
    <w:rPr>
      <w:b/>
      <w:color w:val="183358"/>
      <w:sz w:val="20"/>
    </w:rPr>
  </w:style>
  <w:style w:type="character" w:customStyle="1" w:styleId="a9">
    <w:rPr>
      <w:b/>
    </w:rPr>
  </w:style>
  <w:style w:type="character" w:customStyle="1" w:styleId="aa">
    <w:rPr>
      <w:color w:val="3A4972"/>
      <w:sz w:val="16"/>
      <w:u w:val="single"/>
    </w:rPr>
  </w:style>
  <w:style w:type="character" w:customStyle="1" w:styleId="ab">
    <w:rPr>
      <w:b/>
      <w:color w:val="183358"/>
      <w:sz w:val="16"/>
    </w:rPr>
  </w:style>
  <w:style w:type="table" w:styleId="TableGrid">
    <w:name w:val="Table Grid"/>
    <w:basedOn w:val="TableNormal"/>
    <w:uiPriority w:val="59"/>
    <w:rsid w:val="0025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DEB"/>
  </w:style>
  <w:style w:type="paragraph" w:styleId="Footer">
    <w:name w:val="footer"/>
    <w:basedOn w:val="Normal"/>
    <w:link w:val="FooterChar"/>
    <w:uiPriority w:val="99"/>
    <w:unhideWhenUsed/>
    <w:rsid w:val="00257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DEB"/>
  </w:style>
  <w:style w:type="paragraph" w:styleId="BalloonText">
    <w:name w:val="Balloon Text"/>
    <w:basedOn w:val="Normal"/>
    <w:link w:val="BalloonTextChar"/>
    <w:uiPriority w:val="99"/>
    <w:semiHidden/>
    <w:unhideWhenUsed/>
    <w:rsid w:val="004B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B1"/>
    <w:rPr>
      <w:rFonts w:ascii="Tahoma" w:hAnsi="Tahoma" w:cs="Tahoma"/>
      <w:sz w:val="16"/>
      <w:szCs w:val="16"/>
    </w:rPr>
  </w:style>
  <w:style w:type="character" w:styleId="Hyperlink">
    <w:name w:val="Hyperlink"/>
    <w:basedOn w:val="DefaultParagraphFont"/>
    <w:uiPriority w:val="99"/>
    <w:unhideWhenUsed/>
    <w:rsid w:val="00281A7A"/>
    <w:rPr>
      <w:color w:val="0000FF" w:themeColor="hyperlink"/>
      <w:u w:val="single"/>
    </w:rPr>
  </w:style>
  <w:style w:type="paragraph" w:customStyle="1" w:styleId="BHPerformanceReview">
    <w:name w:val="BH Performance Review"/>
    <w:uiPriority w:val="99"/>
    <w:qFormat/>
    <w:rsid w:val="00D90244"/>
    <w:pPr>
      <w:spacing w:before="40" w:after="60" w:line="240" w:lineRule="auto"/>
      <w:jc w:val="both"/>
    </w:pPr>
    <w:rPr>
      <w:rFonts w:ascii="Arial" w:eastAsia="Times New Roman" w:hAnsi="Arial" w:cs="Arial"/>
      <w:sz w:val="20"/>
      <w:szCs w:val="20"/>
      <w:lang w:val="en-US"/>
    </w:rPr>
  </w:style>
  <w:style w:type="paragraph" w:styleId="BodyText">
    <w:name w:val="Body Text"/>
    <w:basedOn w:val="Normal"/>
    <w:link w:val="BodyTextChar"/>
    <w:uiPriority w:val="99"/>
    <w:rsid w:val="00D90244"/>
    <w:pPr>
      <w:spacing w:after="120" w:line="288" w:lineRule="auto"/>
      <w:jc w:val="both"/>
    </w:pPr>
    <w:rPr>
      <w:rFonts w:ascii="Arial" w:eastAsia="Times New Roman" w:hAnsi="Arial" w:cs="Times New Roman"/>
      <w:sz w:val="20"/>
      <w:szCs w:val="24"/>
      <w:lang w:eastAsia="en-US"/>
    </w:rPr>
  </w:style>
  <w:style w:type="character" w:customStyle="1" w:styleId="BodyTextChar">
    <w:name w:val="Body Text Char"/>
    <w:basedOn w:val="DefaultParagraphFont"/>
    <w:link w:val="BodyText"/>
    <w:uiPriority w:val="99"/>
    <w:rsid w:val="00D90244"/>
    <w:rPr>
      <w:rFonts w:ascii="Arial" w:eastAsia="Times New Roman" w:hAnsi="Arial" w:cs="Times New Roman"/>
      <w:sz w:val="20"/>
      <w:szCs w:val="24"/>
      <w:lang w:eastAsia="en-US"/>
    </w:rPr>
  </w:style>
  <w:style w:type="paragraph" w:customStyle="1" w:styleId="BHDisclaimer">
    <w:name w:val="BH Disclaimer"/>
    <w:uiPriority w:val="99"/>
    <w:rsid w:val="00D90244"/>
    <w:pPr>
      <w:spacing w:before="120" w:after="0" w:line="240" w:lineRule="auto"/>
      <w:jc w:val="both"/>
    </w:pPr>
    <w:rPr>
      <w:rFonts w:ascii="Arial" w:eastAsia="Times New Roman" w:hAnsi="Arial" w:cs="Times New Roman"/>
      <w:color w:val="C0C0C0"/>
      <w:sz w:val="16"/>
      <w:szCs w:val="24"/>
      <w:lang w:eastAsia="en-US"/>
    </w:rPr>
  </w:style>
  <w:style w:type="paragraph" w:customStyle="1" w:styleId="BHCommentary">
    <w:name w:val="BH Commentary"/>
    <w:link w:val="BHCommentaryChar"/>
    <w:qFormat/>
    <w:rsid w:val="00A458FC"/>
    <w:pPr>
      <w:spacing w:after="240" w:line="240" w:lineRule="exact"/>
      <w:jc w:val="both"/>
    </w:pPr>
    <w:rPr>
      <w:rFonts w:ascii="Arial" w:eastAsia="Calibri" w:hAnsi="Arial" w:cs="Arial"/>
      <w:sz w:val="20"/>
      <w:szCs w:val="20"/>
      <w:lang w:val="en-US"/>
    </w:rPr>
  </w:style>
  <w:style w:type="character" w:customStyle="1" w:styleId="apple-converted-space">
    <w:name w:val="apple-converted-space"/>
    <w:rsid w:val="00517130"/>
    <w:rPr>
      <w:rFonts w:ascii="Times New Roman" w:hAnsi="Times New Roman" w:cs="Times New Roman" w:hint="default"/>
    </w:rPr>
  </w:style>
  <w:style w:type="paragraph" w:styleId="ListParagraph">
    <w:name w:val="List Paragraph"/>
    <w:basedOn w:val="Normal"/>
    <w:uiPriority w:val="34"/>
    <w:qFormat/>
    <w:rsid w:val="002C1031"/>
    <w:pPr>
      <w:ind w:left="720"/>
      <w:contextualSpacing/>
    </w:pPr>
  </w:style>
  <w:style w:type="character" w:customStyle="1" w:styleId="BHCommentaryChar">
    <w:name w:val="BH Commentary Char"/>
    <w:link w:val="BHCommentary"/>
    <w:locked/>
    <w:rsid w:val="00B52A1D"/>
    <w:rPr>
      <w:rFonts w:ascii="Arial" w:eastAsia="Calibri" w:hAnsi="Arial" w:cs="Arial"/>
      <w:sz w:val="20"/>
      <w:szCs w:val="20"/>
      <w:lang w:val="en-US"/>
    </w:rPr>
  </w:style>
  <w:style w:type="paragraph" w:styleId="DocumentMap">
    <w:name w:val="Document Map"/>
    <w:basedOn w:val="Normal"/>
    <w:link w:val="DocumentMapChar"/>
    <w:uiPriority w:val="99"/>
    <w:semiHidden/>
    <w:rsid w:val="00690503"/>
    <w:pPr>
      <w:shd w:val="clear" w:color="auto" w:fill="000080"/>
      <w:spacing w:after="12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690503"/>
    <w:rPr>
      <w:rFonts w:ascii="Tahoma" w:eastAsia="Times New Roman" w:hAnsi="Tahoma" w:cs="Tahoma"/>
      <w:sz w:val="20"/>
      <w:szCs w:val="20"/>
      <w:shd w:val="clear" w:color="auto" w:fill="000080"/>
      <w:lang w:eastAsia="en-US"/>
    </w:rPr>
  </w:style>
  <w:style w:type="paragraph" w:styleId="NoSpacing">
    <w:name w:val="No Spacing"/>
    <w:uiPriority w:val="1"/>
    <w:qFormat/>
    <w:rsid w:val="00A548A1"/>
    <w:pPr>
      <w:spacing w:after="0" w:line="240" w:lineRule="auto"/>
      <w:jc w:val="both"/>
    </w:pPr>
    <w:rPr>
      <w:rFonts w:ascii="Arial" w:eastAsia="Calibri" w:hAnsi="Arial" w:cs="Calibri"/>
      <w:sz w:val="20"/>
      <w:lang w:eastAsia="en-US"/>
    </w:rPr>
  </w:style>
  <w:style w:type="paragraph" w:styleId="CommentText">
    <w:name w:val="annotation text"/>
    <w:basedOn w:val="Normal"/>
    <w:link w:val="CommentTextChar"/>
    <w:uiPriority w:val="99"/>
    <w:semiHidden/>
    <w:unhideWhenUsed/>
    <w:rsid w:val="003B311F"/>
    <w:pPr>
      <w:spacing w:after="120" w:line="240" w:lineRule="auto"/>
    </w:pPr>
    <w:rPr>
      <w:rFonts w:ascii="Arial" w:eastAsia="Times New Roman" w:hAnsi="Arial" w:cs="Times New Roman"/>
      <w:sz w:val="20"/>
      <w:szCs w:val="20"/>
      <w:lang w:eastAsia="en-US"/>
    </w:rPr>
  </w:style>
  <w:style w:type="character" w:customStyle="1" w:styleId="CommentTextChar">
    <w:name w:val="Comment Text Char"/>
    <w:basedOn w:val="DefaultParagraphFont"/>
    <w:link w:val="CommentText"/>
    <w:uiPriority w:val="99"/>
    <w:semiHidden/>
    <w:rsid w:val="003B311F"/>
    <w:rPr>
      <w:rFonts w:ascii="Arial" w:eastAsia="Times New Roman" w:hAnsi="Arial" w:cs="Times New Roman"/>
      <w:sz w:val="20"/>
      <w:szCs w:val="20"/>
      <w:lang w:eastAsia="en-US"/>
    </w:rPr>
  </w:style>
  <w:style w:type="character" w:styleId="CommentReference">
    <w:name w:val="annotation reference"/>
    <w:uiPriority w:val="99"/>
    <w:semiHidden/>
    <w:unhideWhenUsed/>
    <w:rsid w:val="003B311F"/>
    <w:rPr>
      <w:rFonts w:ascii="Times New Roman" w:hAnsi="Times New Roman" w:cs="Times New Roman" w:hint="default"/>
      <w:sz w:val="16"/>
      <w:szCs w:val="16"/>
    </w:rPr>
  </w:style>
  <w:style w:type="paragraph" w:customStyle="1" w:styleId="Default">
    <w:name w:val="Default"/>
    <w:rsid w:val="000E41F6"/>
    <w:pPr>
      <w:autoSpaceDE w:val="0"/>
      <w:autoSpaceDN w:val="0"/>
      <w:adjustRightInd w:val="0"/>
      <w:spacing w:after="0" w:line="240" w:lineRule="auto"/>
    </w:pPr>
    <w:rPr>
      <w:rFonts w:ascii="Arial" w:hAnsi="Arial" w:cs="Arial"/>
      <w:color w:val="000000"/>
      <w:sz w:val="24"/>
      <w:szCs w:val="24"/>
    </w:rPr>
  </w:style>
  <w:style w:type="paragraph" w:customStyle="1" w:styleId="Accountstext">
    <w:name w:val="Accounts text"/>
    <w:basedOn w:val="Normal"/>
    <w:rsid w:val="00886CE1"/>
    <w:pPr>
      <w:tabs>
        <w:tab w:val="right" w:pos="5670"/>
        <w:tab w:val="right" w:pos="9639"/>
      </w:tabs>
      <w:spacing w:after="0" w:line="240" w:lineRule="auto"/>
    </w:pPr>
    <w:rPr>
      <w:rFonts w:ascii="Arial" w:eastAsia="Times New Roman" w:hAnsi="Arial" w:cs="Times New Roman"/>
      <w:szCs w:val="20"/>
    </w:rPr>
  </w:style>
  <w:style w:type="paragraph" w:styleId="Title">
    <w:name w:val="Title"/>
    <w:basedOn w:val="Normal"/>
    <w:next w:val="Normal"/>
    <w:link w:val="TitleChar"/>
    <w:uiPriority w:val="10"/>
    <w:qFormat/>
    <w:rsid w:val="000701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0122"/>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rsid w:val="007319A0"/>
    <w:pPr>
      <w:spacing w:after="200"/>
    </w:pPr>
    <w:rPr>
      <w:rFonts w:asciiTheme="minorHAnsi" w:eastAsiaTheme="minorEastAsia" w:hAnsiTheme="minorHAnsi" w:cstheme="minorBidi"/>
      <w:b/>
      <w:bCs/>
      <w:lang w:eastAsia="en-GB"/>
    </w:rPr>
  </w:style>
  <w:style w:type="character" w:customStyle="1" w:styleId="CommentSubjectChar">
    <w:name w:val="Comment Subject Char"/>
    <w:basedOn w:val="CommentTextChar"/>
    <w:link w:val="CommentSubject"/>
    <w:uiPriority w:val="99"/>
    <w:semiHidden/>
    <w:rsid w:val="007319A0"/>
    <w:rPr>
      <w:rFonts w:ascii="Arial" w:eastAsia="Times New Roman" w:hAnsi="Arial"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28">
      <w:bodyDiv w:val="1"/>
      <w:marLeft w:val="0"/>
      <w:marRight w:val="0"/>
      <w:marTop w:val="0"/>
      <w:marBottom w:val="0"/>
      <w:divBdr>
        <w:top w:val="none" w:sz="0" w:space="0" w:color="auto"/>
        <w:left w:val="none" w:sz="0" w:space="0" w:color="auto"/>
        <w:bottom w:val="none" w:sz="0" w:space="0" w:color="auto"/>
        <w:right w:val="none" w:sz="0" w:space="0" w:color="auto"/>
      </w:divBdr>
    </w:div>
    <w:div w:id="8679411">
      <w:bodyDiv w:val="1"/>
      <w:marLeft w:val="0"/>
      <w:marRight w:val="0"/>
      <w:marTop w:val="0"/>
      <w:marBottom w:val="0"/>
      <w:divBdr>
        <w:top w:val="none" w:sz="0" w:space="0" w:color="auto"/>
        <w:left w:val="none" w:sz="0" w:space="0" w:color="auto"/>
        <w:bottom w:val="none" w:sz="0" w:space="0" w:color="auto"/>
        <w:right w:val="none" w:sz="0" w:space="0" w:color="auto"/>
      </w:divBdr>
    </w:div>
    <w:div w:id="12149131">
      <w:bodyDiv w:val="1"/>
      <w:marLeft w:val="0"/>
      <w:marRight w:val="0"/>
      <w:marTop w:val="0"/>
      <w:marBottom w:val="0"/>
      <w:divBdr>
        <w:top w:val="none" w:sz="0" w:space="0" w:color="auto"/>
        <w:left w:val="none" w:sz="0" w:space="0" w:color="auto"/>
        <w:bottom w:val="none" w:sz="0" w:space="0" w:color="auto"/>
        <w:right w:val="none" w:sz="0" w:space="0" w:color="auto"/>
      </w:divBdr>
    </w:div>
    <w:div w:id="39013752">
      <w:bodyDiv w:val="1"/>
      <w:marLeft w:val="0"/>
      <w:marRight w:val="0"/>
      <w:marTop w:val="0"/>
      <w:marBottom w:val="0"/>
      <w:divBdr>
        <w:top w:val="none" w:sz="0" w:space="0" w:color="auto"/>
        <w:left w:val="none" w:sz="0" w:space="0" w:color="auto"/>
        <w:bottom w:val="none" w:sz="0" w:space="0" w:color="auto"/>
        <w:right w:val="none" w:sz="0" w:space="0" w:color="auto"/>
      </w:divBdr>
    </w:div>
    <w:div w:id="46684600">
      <w:bodyDiv w:val="1"/>
      <w:marLeft w:val="0"/>
      <w:marRight w:val="0"/>
      <w:marTop w:val="0"/>
      <w:marBottom w:val="0"/>
      <w:divBdr>
        <w:top w:val="none" w:sz="0" w:space="0" w:color="auto"/>
        <w:left w:val="none" w:sz="0" w:space="0" w:color="auto"/>
        <w:bottom w:val="none" w:sz="0" w:space="0" w:color="auto"/>
        <w:right w:val="none" w:sz="0" w:space="0" w:color="auto"/>
      </w:divBdr>
    </w:div>
    <w:div w:id="59061903">
      <w:bodyDiv w:val="1"/>
      <w:marLeft w:val="0"/>
      <w:marRight w:val="0"/>
      <w:marTop w:val="0"/>
      <w:marBottom w:val="0"/>
      <w:divBdr>
        <w:top w:val="none" w:sz="0" w:space="0" w:color="auto"/>
        <w:left w:val="none" w:sz="0" w:space="0" w:color="auto"/>
        <w:bottom w:val="none" w:sz="0" w:space="0" w:color="auto"/>
        <w:right w:val="none" w:sz="0" w:space="0" w:color="auto"/>
      </w:divBdr>
    </w:div>
    <w:div w:id="63063858">
      <w:bodyDiv w:val="1"/>
      <w:marLeft w:val="0"/>
      <w:marRight w:val="0"/>
      <w:marTop w:val="0"/>
      <w:marBottom w:val="0"/>
      <w:divBdr>
        <w:top w:val="none" w:sz="0" w:space="0" w:color="auto"/>
        <w:left w:val="none" w:sz="0" w:space="0" w:color="auto"/>
        <w:bottom w:val="none" w:sz="0" w:space="0" w:color="auto"/>
        <w:right w:val="none" w:sz="0" w:space="0" w:color="auto"/>
      </w:divBdr>
    </w:div>
    <w:div w:id="64691645">
      <w:bodyDiv w:val="1"/>
      <w:marLeft w:val="0"/>
      <w:marRight w:val="0"/>
      <w:marTop w:val="0"/>
      <w:marBottom w:val="0"/>
      <w:divBdr>
        <w:top w:val="none" w:sz="0" w:space="0" w:color="auto"/>
        <w:left w:val="none" w:sz="0" w:space="0" w:color="auto"/>
        <w:bottom w:val="none" w:sz="0" w:space="0" w:color="auto"/>
        <w:right w:val="none" w:sz="0" w:space="0" w:color="auto"/>
      </w:divBdr>
    </w:div>
    <w:div w:id="96947962">
      <w:bodyDiv w:val="1"/>
      <w:marLeft w:val="0"/>
      <w:marRight w:val="0"/>
      <w:marTop w:val="0"/>
      <w:marBottom w:val="0"/>
      <w:divBdr>
        <w:top w:val="none" w:sz="0" w:space="0" w:color="auto"/>
        <w:left w:val="none" w:sz="0" w:space="0" w:color="auto"/>
        <w:bottom w:val="none" w:sz="0" w:space="0" w:color="auto"/>
        <w:right w:val="none" w:sz="0" w:space="0" w:color="auto"/>
      </w:divBdr>
    </w:div>
    <w:div w:id="162625959">
      <w:bodyDiv w:val="1"/>
      <w:marLeft w:val="0"/>
      <w:marRight w:val="0"/>
      <w:marTop w:val="0"/>
      <w:marBottom w:val="0"/>
      <w:divBdr>
        <w:top w:val="none" w:sz="0" w:space="0" w:color="auto"/>
        <w:left w:val="none" w:sz="0" w:space="0" w:color="auto"/>
        <w:bottom w:val="none" w:sz="0" w:space="0" w:color="auto"/>
        <w:right w:val="none" w:sz="0" w:space="0" w:color="auto"/>
      </w:divBdr>
    </w:div>
    <w:div w:id="164710147">
      <w:bodyDiv w:val="1"/>
      <w:marLeft w:val="0"/>
      <w:marRight w:val="0"/>
      <w:marTop w:val="0"/>
      <w:marBottom w:val="0"/>
      <w:divBdr>
        <w:top w:val="none" w:sz="0" w:space="0" w:color="auto"/>
        <w:left w:val="none" w:sz="0" w:space="0" w:color="auto"/>
        <w:bottom w:val="none" w:sz="0" w:space="0" w:color="auto"/>
        <w:right w:val="none" w:sz="0" w:space="0" w:color="auto"/>
      </w:divBdr>
    </w:div>
    <w:div w:id="165293512">
      <w:bodyDiv w:val="1"/>
      <w:marLeft w:val="0"/>
      <w:marRight w:val="0"/>
      <w:marTop w:val="0"/>
      <w:marBottom w:val="0"/>
      <w:divBdr>
        <w:top w:val="none" w:sz="0" w:space="0" w:color="auto"/>
        <w:left w:val="none" w:sz="0" w:space="0" w:color="auto"/>
        <w:bottom w:val="none" w:sz="0" w:space="0" w:color="auto"/>
        <w:right w:val="none" w:sz="0" w:space="0" w:color="auto"/>
      </w:divBdr>
    </w:div>
    <w:div w:id="174225097">
      <w:bodyDiv w:val="1"/>
      <w:marLeft w:val="0"/>
      <w:marRight w:val="0"/>
      <w:marTop w:val="0"/>
      <w:marBottom w:val="0"/>
      <w:divBdr>
        <w:top w:val="none" w:sz="0" w:space="0" w:color="auto"/>
        <w:left w:val="none" w:sz="0" w:space="0" w:color="auto"/>
        <w:bottom w:val="none" w:sz="0" w:space="0" w:color="auto"/>
        <w:right w:val="none" w:sz="0" w:space="0" w:color="auto"/>
      </w:divBdr>
    </w:div>
    <w:div w:id="178276075">
      <w:bodyDiv w:val="1"/>
      <w:marLeft w:val="0"/>
      <w:marRight w:val="0"/>
      <w:marTop w:val="0"/>
      <w:marBottom w:val="0"/>
      <w:divBdr>
        <w:top w:val="none" w:sz="0" w:space="0" w:color="auto"/>
        <w:left w:val="none" w:sz="0" w:space="0" w:color="auto"/>
        <w:bottom w:val="none" w:sz="0" w:space="0" w:color="auto"/>
        <w:right w:val="none" w:sz="0" w:space="0" w:color="auto"/>
      </w:divBdr>
    </w:div>
    <w:div w:id="181357315">
      <w:bodyDiv w:val="1"/>
      <w:marLeft w:val="0"/>
      <w:marRight w:val="0"/>
      <w:marTop w:val="0"/>
      <w:marBottom w:val="0"/>
      <w:divBdr>
        <w:top w:val="none" w:sz="0" w:space="0" w:color="auto"/>
        <w:left w:val="none" w:sz="0" w:space="0" w:color="auto"/>
        <w:bottom w:val="none" w:sz="0" w:space="0" w:color="auto"/>
        <w:right w:val="none" w:sz="0" w:space="0" w:color="auto"/>
      </w:divBdr>
    </w:div>
    <w:div w:id="190538700">
      <w:bodyDiv w:val="1"/>
      <w:marLeft w:val="0"/>
      <w:marRight w:val="0"/>
      <w:marTop w:val="0"/>
      <w:marBottom w:val="0"/>
      <w:divBdr>
        <w:top w:val="none" w:sz="0" w:space="0" w:color="auto"/>
        <w:left w:val="none" w:sz="0" w:space="0" w:color="auto"/>
        <w:bottom w:val="none" w:sz="0" w:space="0" w:color="auto"/>
        <w:right w:val="none" w:sz="0" w:space="0" w:color="auto"/>
      </w:divBdr>
    </w:div>
    <w:div w:id="196623746">
      <w:bodyDiv w:val="1"/>
      <w:marLeft w:val="0"/>
      <w:marRight w:val="0"/>
      <w:marTop w:val="0"/>
      <w:marBottom w:val="0"/>
      <w:divBdr>
        <w:top w:val="none" w:sz="0" w:space="0" w:color="auto"/>
        <w:left w:val="none" w:sz="0" w:space="0" w:color="auto"/>
        <w:bottom w:val="none" w:sz="0" w:space="0" w:color="auto"/>
        <w:right w:val="none" w:sz="0" w:space="0" w:color="auto"/>
      </w:divBdr>
    </w:div>
    <w:div w:id="214582663">
      <w:bodyDiv w:val="1"/>
      <w:marLeft w:val="0"/>
      <w:marRight w:val="0"/>
      <w:marTop w:val="0"/>
      <w:marBottom w:val="0"/>
      <w:divBdr>
        <w:top w:val="none" w:sz="0" w:space="0" w:color="auto"/>
        <w:left w:val="none" w:sz="0" w:space="0" w:color="auto"/>
        <w:bottom w:val="none" w:sz="0" w:space="0" w:color="auto"/>
        <w:right w:val="none" w:sz="0" w:space="0" w:color="auto"/>
      </w:divBdr>
    </w:div>
    <w:div w:id="225147029">
      <w:bodyDiv w:val="1"/>
      <w:marLeft w:val="0"/>
      <w:marRight w:val="0"/>
      <w:marTop w:val="0"/>
      <w:marBottom w:val="0"/>
      <w:divBdr>
        <w:top w:val="none" w:sz="0" w:space="0" w:color="auto"/>
        <w:left w:val="none" w:sz="0" w:space="0" w:color="auto"/>
        <w:bottom w:val="none" w:sz="0" w:space="0" w:color="auto"/>
        <w:right w:val="none" w:sz="0" w:space="0" w:color="auto"/>
      </w:divBdr>
    </w:div>
    <w:div w:id="229928656">
      <w:bodyDiv w:val="1"/>
      <w:marLeft w:val="0"/>
      <w:marRight w:val="0"/>
      <w:marTop w:val="0"/>
      <w:marBottom w:val="0"/>
      <w:divBdr>
        <w:top w:val="none" w:sz="0" w:space="0" w:color="auto"/>
        <w:left w:val="none" w:sz="0" w:space="0" w:color="auto"/>
        <w:bottom w:val="none" w:sz="0" w:space="0" w:color="auto"/>
        <w:right w:val="none" w:sz="0" w:space="0" w:color="auto"/>
      </w:divBdr>
    </w:div>
    <w:div w:id="240606866">
      <w:bodyDiv w:val="1"/>
      <w:marLeft w:val="0"/>
      <w:marRight w:val="0"/>
      <w:marTop w:val="0"/>
      <w:marBottom w:val="0"/>
      <w:divBdr>
        <w:top w:val="none" w:sz="0" w:space="0" w:color="auto"/>
        <w:left w:val="none" w:sz="0" w:space="0" w:color="auto"/>
        <w:bottom w:val="none" w:sz="0" w:space="0" w:color="auto"/>
        <w:right w:val="none" w:sz="0" w:space="0" w:color="auto"/>
      </w:divBdr>
    </w:div>
    <w:div w:id="242959336">
      <w:bodyDiv w:val="1"/>
      <w:marLeft w:val="0"/>
      <w:marRight w:val="0"/>
      <w:marTop w:val="0"/>
      <w:marBottom w:val="0"/>
      <w:divBdr>
        <w:top w:val="none" w:sz="0" w:space="0" w:color="auto"/>
        <w:left w:val="none" w:sz="0" w:space="0" w:color="auto"/>
        <w:bottom w:val="none" w:sz="0" w:space="0" w:color="auto"/>
        <w:right w:val="none" w:sz="0" w:space="0" w:color="auto"/>
      </w:divBdr>
    </w:div>
    <w:div w:id="273950192">
      <w:bodyDiv w:val="1"/>
      <w:marLeft w:val="0"/>
      <w:marRight w:val="0"/>
      <w:marTop w:val="0"/>
      <w:marBottom w:val="0"/>
      <w:divBdr>
        <w:top w:val="none" w:sz="0" w:space="0" w:color="auto"/>
        <w:left w:val="none" w:sz="0" w:space="0" w:color="auto"/>
        <w:bottom w:val="none" w:sz="0" w:space="0" w:color="auto"/>
        <w:right w:val="none" w:sz="0" w:space="0" w:color="auto"/>
      </w:divBdr>
    </w:div>
    <w:div w:id="274870563">
      <w:bodyDiv w:val="1"/>
      <w:marLeft w:val="0"/>
      <w:marRight w:val="0"/>
      <w:marTop w:val="0"/>
      <w:marBottom w:val="0"/>
      <w:divBdr>
        <w:top w:val="none" w:sz="0" w:space="0" w:color="auto"/>
        <w:left w:val="none" w:sz="0" w:space="0" w:color="auto"/>
        <w:bottom w:val="none" w:sz="0" w:space="0" w:color="auto"/>
        <w:right w:val="none" w:sz="0" w:space="0" w:color="auto"/>
      </w:divBdr>
    </w:div>
    <w:div w:id="282612303">
      <w:bodyDiv w:val="1"/>
      <w:marLeft w:val="0"/>
      <w:marRight w:val="0"/>
      <w:marTop w:val="0"/>
      <w:marBottom w:val="0"/>
      <w:divBdr>
        <w:top w:val="none" w:sz="0" w:space="0" w:color="auto"/>
        <w:left w:val="none" w:sz="0" w:space="0" w:color="auto"/>
        <w:bottom w:val="none" w:sz="0" w:space="0" w:color="auto"/>
        <w:right w:val="none" w:sz="0" w:space="0" w:color="auto"/>
      </w:divBdr>
    </w:div>
    <w:div w:id="290982244">
      <w:bodyDiv w:val="1"/>
      <w:marLeft w:val="0"/>
      <w:marRight w:val="0"/>
      <w:marTop w:val="0"/>
      <w:marBottom w:val="0"/>
      <w:divBdr>
        <w:top w:val="none" w:sz="0" w:space="0" w:color="auto"/>
        <w:left w:val="none" w:sz="0" w:space="0" w:color="auto"/>
        <w:bottom w:val="none" w:sz="0" w:space="0" w:color="auto"/>
        <w:right w:val="none" w:sz="0" w:space="0" w:color="auto"/>
      </w:divBdr>
    </w:div>
    <w:div w:id="304433549">
      <w:bodyDiv w:val="1"/>
      <w:marLeft w:val="0"/>
      <w:marRight w:val="0"/>
      <w:marTop w:val="0"/>
      <w:marBottom w:val="0"/>
      <w:divBdr>
        <w:top w:val="none" w:sz="0" w:space="0" w:color="auto"/>
        <w:left w:val="none" w:sz="0" w:space="0" w:color="auto"/>
        <w:bottom w:val="none" w:sz="0" w:space="0" w:color="auto"/>
        <w:right w:val="none" w:sz="0" w:space="0" w:color="auto"/>
      </w:divBdr>
    </w:div>
    <w:div w:id="314652912">
      <w:bodyDiv w:val="1"/>
      <w:marLeft w:val="0"/>
      <w:marRight w:val="0"/>
      <w:marTop w:val="0"/>
      <w:marBottom w:val="0"/>
      <w:divBdr>
        <w:top w:val="none" w:sz="0" w:space="0" w:color="auto"/>
        <w:left w:val="none" w:sz="0" w:space="0" w:color="auto"/>
        <w:bottom w:val="none" w:sz="0" w:space="0" w:color="auto"/>
        <w:right w:val="none" w:sz="0" w:space="0" w:color="auto"/>
      </w:divBdr>
    </w:div>
    <w:div w:id="321736973">
      <w:bodyDiv w:val="1"/>
      <w:marLeft w:val="0"/>
      <w:marRight w:val="0"/>
      <w:marTop w:val="0"/>
      <w:marBottom w:val="0"/>
      <w:divBdr>
        <w:top w:val="none" w:sz="0" w:space="0" w:color="auto"/>
        <w:left w:val="none" w:sz="0" w:space="0" w:color="auto"/>
        <w:bottom w:val="none" w:sz="0" w:space="0" w:color="auto"/>
        <w:right w:val="none" w:sz="0" w:space="0" w:color="auto"/>
      </w:divBdr>
    </w:div>
    <w:div w:id="322511498">
      <w:bodyDiv w:val="1"/>
      <w:marLeft w:val="0"/>
      <w:marRight w:val="0"/>
      <w:marTop w:val="0"/>
      <w:marBottom w:val="0"/>
      <w:divBdr>
        <w:top w:val="none" w:sz="0" w:space="0" w:color="auto"/>
        <w:left w:val="none" w:sz="0" w:space="0" w:color="auto"/>
        <w:bottom w:val="none" w:sz="0" w:space="0" w:color="auto"/>
        <w:right w:val="none" w:sz="0" w:space="0" w:color="auto"/>
      </w:divBdr>
    </w:div>
    <w:div w:id="335303554">
      <w:bodyDiv w:val="1"/>
      <w:marLeft w:val="0"/>
      <w:marRight w:val="0"/>
      <w:marTop w:val="0"/>
      <w:marBottom w:val="0"/>
      <w:divBdr>
        <w:top w:val="none" w:sz="0" w:space="0" w:color="auto"/>
        <w:left w:val="none" w:sz="0" w:space="0" w:color="auto"/>
        <w:bottom w:val="none" w:sz="0" w:space="0" w:color="auto"/>
        <w:right w:val="none" w:sz="0" w:space="0" w:color="auto"/>
      </w:divBdr>
    </w:div>
    <w:div w:id="336925053">
      <w:bodyDiv w:val="1"/>
      <w:marLeft w:val="0"/>
      <w:marRight w:val="0"/>
      <w:marTop w:val="0"/>
      <w:marBottom w:val="0"/>
      <w:divBdr>
        <w:top w:val="none" w:sz="0" w:space="0" w:color="auto"/>
        <w:left w:val="none" w:sz="0" w:space="0" w:color="auto"/>
        <w:bottom w:val="none" w:sz="0" w:space="0" w:color="auto"/>
        <w:right w:val="none" w:sz="0" w:space="0" w:color="auto"/>
      </w:divBdr>
    </w:div>
    <w:div w:id="341395249">
      <w:bodyDiv w:val="1"/>
      <w:marLeft w:val="0"/>
      <w:marRight w:val="0"/>
      <w:marTop w:val="0"/>
      <w:marBottom w:val="0"/>
      <w:divBdr>
        <w:top w:val="none" w:sz="0" w:space="0" w:color="auto"/>
        <w:left w:val="none" w:sz="0" w:space="0" w:color="auto"/>
        <w:bottom w:val="none" w:sz="0" w:space="0" w:color="auto"/>
        <w:right w:val="none" w:sz="0" w:space="0" w:color="auto"/>
      </w:divBdr>
    </w:div>
    <w:div w:id="358632199">
      <w:bodyDiv w:val="1"/>
      <w:marLeft w:val="0"/>
      <w:marRight w:val="0"/>
      <w:marTop w:val="0"/>
      <w:marBottom w:val="0"/>
      <w:divBdr>
        <w:top w:val="none" w:sz="0" w:space="0" w:color="auto"/>
        <w:left w:val="none" w:sz="0" w:space="0" w:color="auto"/>
        <w:bottom w:val="none" w:sz="0" w:space="0" w:color="auto"/>
        <w:right w:val="none" w:sz="0" w:space="0" w:color="auto"/>
      </w:divBdr>
    </w:div>
    <w:div w:id="374697786">
      <w:bodyDiv w:val="1"/>
      <w:marLeft w:val="0"/>
      <w:marRight w:val="0"/>
      <w:marTop w:val="0"/>
      <w:marBottom w:val="0"/>
      <w:divBdr>
        <w:top w:val="none" w:sz="0" w:space="0" w:color="auto"/>
        <w:left w:val="none" w:sz="0" w:space="0" w:color="auto"/>
        <w:bottom w:val="none" w:sz="0" w:space="0" w:color="auto"/>
        <w:right w:val="none" w:sz="0" w:space="0" w:color="auto"/>
      </w:divBdr>
    </w:div>
    <w:div w:id="381370372">
      <w:bodyDiv w:val="1"/>
      <w:marLeft w:val="0"/>
      <w:marRight w:val="0"/>
      <w:marTop w:val="0"/>
      <w:marBottom w:val="0"/>
      <w:divBdr>
        <w:top w:val="none" w:sz="0" w:space="0" w:color="auto"/>
        <w:left w:val="none" w:sz="0" w:space="0" w:color="auto"/>
        <w:bottom w:val="none" w:sz="0" w:space="0" w:color="auto"/>
        <w:right w:val="none" w:sz="0" w:space="0" w:color="auto"/>
      </w:divBdr>
    </w:div>
    <w:div w:id="385840170">
      <w:bodyDiv w:val="1"/>
      <w:marLeft w:val="0"/>
      <w:marRight w:val="0"/>
      <w:marTop w:val="0"/>
      <w:marBottom w:val="0"/>
      <w:divBdr>
        <w:top w:val="none" w:sz="0" w:space="0" w:color="auto"/>
        <w:left w:val="none" w:sz="0" w:space="0" w:color="auto"/>
        <w:bottom w:val="none" w:sz="0" w:space="0" w:color="auto"/>
        <w:right w:val="none" w:sz="0" w:space="0" w:color="auto"/>
      </w:divBdr>
    </w:div>
    <w:div w:id="397022164">
      <w:bodyDiv w:val="1"/>
      <w:marLeft w:val="0"/>
      <w:marRight w:val="0"/>
      <w:marTop w:val="0"/>
      <w:marBottom w:val="0"/>
      <w:divBdr>
        <w:top w:val="none" w:sz="0" w:space="0" w:color="auto"/>
        <w:left w:val="none" w:sz="0" w:space="0" w:color="auto"/>
        <w:bottom w:val="none" w:sz="0" w:space="0" w:color="auto"/>
        <w:right w:val="none" w:sz="0" w:space="0" w:color="auto"/>
      </w:divBdr>
    </w:div>
    <w:div w:id="407769531">
      <w:bodyDiv w:val="1"/>
      <w:marLeft w:val="0"/>
      <w:marRight w:val="0"/>
      <w:marTop w:val="0"/>
      <w:marBottom w:val="0"/>
      <w:divBdr>
        <w:top w:val="none" w:sz="0" w:space="0" w:color="auto"/>
        <w:left w:val="none" w:sz="0" w:space="0" w:color="auto"/>
        <w:bottom w:val="none" w:sz="0" w:space="0" w:color="auto"/>
        <w:right w:val="none" w:sz="0" w:space="0" w:color="auto"/>
      </w:divBdr>
    </w:div>
    <w:div w:id="411246210">
      <w:bodyDiv w:val="1"/>
      <w:marLeft w:val="0"/>
      <w:marRight w:val="0"/>
      <w:marTop w:val="0"/>
      <w:marBottom w:val="0"/>
      <w:divBdr>
        <w:top w:val="none" w:sz="0" w:space="0" w:color="auto"/>
        <w:left w:val="none" w:sz="0" w:space="0" w:color="auto"/>
        <w:bottom w:val="none" w:sz="0" w:space="0" w:color="auto"/>
        <w:right w:val="none" w:sz="0" w:space="0" w:color="auto"/>
      </w:divBdr>
    </w:div>
    <w:div w:id="429354553">
      <w:bodyDiv w:val="1"/>
      <w:marLeft w:val="0"/>
      <w:marRight w:val="0"/>
      <w:marTop w:val="0"/>
      <w:marBottom w:val="0"/>
      <w:divBdr>
        <w:top w:val="none" w:sz="0" w:space="0" w:color="auto"/>
        <w:left w:val="none" w:sz="0" w:space="0" w:color="auto"/>
        <w:bottom w:val="none" w:sz="0" w:space="0" w:color="auto"/>
        <w:right w:val="none" w:sz="0" w:space="0" w:color="auto"/>
      </w:divBdr>
    </w:div>
    <w:div w:id="431555869">
      <w:bodyDiv w:val="1"/>
      <w:marLeft w:val="0"/>
      <w:marRight w:val="0"/>
      <w:marTop w:val="0"/>
      <w:marBottom w:val="0"/>
      <w:divBdr>
        <w:top w:val="none" w:sz="0" w:space="0" w:color="auto"/>
        <w:left w:val="none" w:sz="0" w:space="0" w:color="auto"/>
        <w:bottom w:val="none" w:sz="0" w:space="0" w:color="auto"/>
        <w:right w:val="none" w:sz="0" w:space="0" w:color="auto"/>
      </w:divBdr>
    </w:div>
    <w:div w:id="470052665">
      <w:bodyDiv w:val="1"/>
      <w:marLeft w:val="0"/>
      <w:marRight w:val="0"/>
      <w:marTop w:val="0"/>
      <w:marBottom w:val="0"/>
      <w:divBdr>
        <w:top w:val="none" w:sz="0" w:space="0" w:color="auto"/>
        <w:left w:val="none" w:sz="0" w:space="0" w:color="auto"/>
        <w:bottom w:val="none" w:sz="0" w:space="0" w:color="auto"/>
        <w:right w:val="none" w:sz="0" w:space="0" w:color="auto"/>
      </w:divBdr>
    </w:div>
    <w:div w:id="476461909">
      <w:bodyDiv w:val="1"/>
      <w:marLeft w:val="0"/>
      <w:marRight w:val="0"/>
      <w:marTop w:val="0"/>
      <w:marBottom w:val="0"/>
      <w:divBdr>
        <w:top w:val="none" w:sz="0" w:space="0" w:color="auto"/>
        <w:left w:val="none" w:sz="0" w:space="0" w:color="auto"/>
        <w:bottom w:val="none" w:sz="0" w:space="0" w:color="auto"/>
        <w:right w:val="none" w:sz="0" w:space="0" w:color="auto"/>
      </w:divBdr>
    </w:div>
    <w:div w:id="479424032">
      <w:bodyDiv w:val="1"/>
      <w:marLeft w:val="0"/>
      <w:marRight w:val="0"/>
      <w:marTop w:val="0"/>
      <w:marBottom w:val="0"/>
      <w:divBdr>
        <w:top w:val="none" w:sz="0" w:space="0" w:color="auto"/>
        <w:left w:val="none" w:sz="0" w:space="0" w:color="auto"/>
        <w:bottom w:val="none" w:sz="0" w:space="0" w:color="auto"/>
        <w:right w:val="none" w:sz="0" w:space="0" w:color="auto"/>
      </w:divBdr>
    </w:div>
    <w:div w:id="482814625">
      <w:bodyDiv w:val="1"/>
      <w:marLeft w:val="0"/>
      <w:marRight w:val="0"/>
      <w:marTop w:val="0"/>
      <w:marBottom w:val="0"/>
      <w:divBdr>
        <w:top w:val="none" w:sz="0" w:space="0" w:color="auto"/>
        <w:left w:val="none" w:sz="0" w:space="0" w:color="auto"/>
        <w:bottom w:val="none" w:sz="0" w:space="0" w:color="auto"/>
        <w:right w:val="none" w:sz="0" w:space="0" w:color="auto"/>
      </w:divBdr>
    </w:div>
    <w:div w:id="504512682">
      <w:bodyDiv w:val="1"/>
      <w:marLeft w:val="0"/>
      <w:marRight w:val="0"/>
      <w:marTop w:val="0"/>
      <w:marBottom w:val="0"/>
      <w:divBdr>
        <w:top w:val="none" w:sz="0" w:space="0" w:color="auto"/>
        <w:left w:val="none" w:sz="0" w:space="0" w:color="auto"/>
        <w:bottom w:val="none" w:sz="0" w:space="0" w:color="auto"/>
        <w:right w:val="none" w:sz="0" w:space="0" w:color="auto"/>
      </w:divBdr>
    </w:div>
    <w:div w:id="563562359">
      <w:bodyDiv w:val="1"/>
      <w:marLeft w:val="0"/>
      <w:marRight w:val="0"/>
      <w:marTop w:val="0"/>
      <w:marBottom w:val="0"/>
      <w:divBdr>
        <w:top w:val="none" w:sz="0" w:space="0" w:color="auto"/>
        <w:left w:val="none" w:sz="0" w:space="0" w:color="auto"/>
        <w:bottom w:val="none" w:sz="0" w:space="0" w:color="auto"/>
        <w:right w:val="none" w:sz="0" w:space="0" w:color="auto"/>
      </w:divBdr>
    </w:div>
    <w:div w:id="599725277">
      <w:bodyDiv w:val="1"/>
      <w:marLeft w:val="0"/>
      <w:marRight w:val="0"/>
      <w:marTop w:val="0"/>
      <w:marBottom w:val="0"/>
      <w:divBdr>
        <w:top w:val="none" w:sz="0" w:space="0" w:color="auto"/>
        <w:left w:val="none" w:sz="0" w:space="0" w:color="auto"/>
        <w:bottom w:val="none" w:sz="0" w:space="0" w:color="auto"/>
        <w:right w:val="none" w:sz="0" w:space="0" w:color="auto"/>
      </w:divBdr>
    </w:div>
    <w:div w:id="636767617">
      <w:bodyDiv w:val="1"/>
      <w:marLeft w:val="0"/>
      <w:marRight w:val="0"/>
      <w:marTop w:val="0"/>
      <w:marBottom w:val="0"/>
      <w:divBdr>
        <w:top w:val="none" w:sz="0" w:space="0" w:color="auto"/>
        <w:left w:val="none" w:sz="0" w:space="0" w:color="auto"/>
        <w:bottom w:val="none" w:sz="0" w:space="0" w:color="auto"/>
        <w:right w:val="none" w:sz="0" w:space="0" w:color="auto"/>
      </w:divBdr>
    </w:div>
    <w:div w:id="645016605">
      <w:bodyDiv w:val="1"/>
      <w:marLeft w:val="0"/>
      <w:marRight w:val="0"/>
      <w:marTop w:val="0"/>
      <w:marBottom w:val="0"/>
      <w:divBdr>
        <w:top w:val="none" w:sz="0" w:space="0" w:color="auto"/>
        <w:left w:val="none" w:sz="0" w:space="0" w:color="auto"/>
        <w:bottom w:val="none" w:sz="0" w:space="0" w:color="auto"/>
        <w:right w:val="none" w:sz="0" w:space="0" w:color="auto"/>
      </w:divBdr>
    </w:div>
    <w:div w:id="645091533">
      <w:bodyDiv w:val="1"/>
      <w:marLeft w:val="0"/>
      <w:marRight w:val="0"/>
      <w:marTop w:val="0"/>
      <w:marBottom w:val="0"/>
      <w:divBdr>
        <w:top w:val="none" w:sz="0" w:space="0" w:color="auto"/>
        <w:left w:val="none" w:sz="0" w:space="0" w:color="auto"/>
        <w:bottom w:val="none" w:sz="0" w:space="0" w:color="auto"/>
        <w:right w:val="none" w:sz="0" w:space="0" w:color="auto"/>
      </w:divBdr>
    </w:div>
    <w:div w:id="650601599">
      <w:bodyDiv w:val="1"/>
      <w:marLeft w:val="0"/>
      <w:marRight w:val="0"/>
      <w:marTop w:val="0"/>
      <w:marBottom w:val="0"/>
      <w:divBdr>
        <w:top w:val="none" w:sz="0" w:space="0" w:color="auto"/>
        <w:left w:val="none" w:sz="0" w:space="0" w:color="auto"/>
        <w:bottom w:val="none" w:sz="0" w:space="0" w:color="auto"/>
        <w:right w:val="none" w:sz="0" w:space="0" w:color="auto"/>
      </w:divBdr>
    </w:div>
    <w:div w:id="679739701">
      <w:bodyDiv w:val="1"/>
      <w:marLeft w:val="0"/>
      <w:marRight w:val="0"/>
      <w:marTop w:val="0"/>
      <w:marBottom w:val="0"/>
      <w:divBdr>
        <w:top w:val="none" w:sz="0" w:space="0" w:color="auto"/>
        <w:left w:val="none" w:sz="0" w:space="0" w:color="auto"/>
        <w:bottom w:val="none" w:sz="0" w:space="0" w:color="auto"/>
        <w:right w:val="none" w:sz="0" w:space="0" w:color="auto"/>
      </w:divBdr>
    </w:div>
    <w:div w:id="712660111">
      <w:bodyDiv w:val="1"/>
      <w:marLeft w:val="0"/>
      <w:marRight w:val="0"/>
      <w:marTop w:val="0"/>
      <w:marBottom w:val="0"/>
      <w:divBdr>
        <w:top w:val="none" w:sz="0" w:space="0" w:color="auto"/>
        <w:left w:val="none" w:sz="0" w:space="0" w:color="auto"/>
        <w:bottom w:val="none" w:sz="0" w:space="0" w:color="auto"/>
        <w:right w:val="none" w:sz="0" w:space="0" w:color="auto"/>
      </w:divBdr>
    </w:div>
    <w:div w:id="746272023">
      <w:bodyDiv w:val="1"/>
      <w:marLeft w:val="0"/>
      <w:marRight w:val="0"/>
      <w:marTop w:val="0"/>
      <w:marBottom w:val="0"/>
      <w:divBdr>
        <w:top w:val="none" w:sz="0" w:space="0" w:color="auto"/>
        <w:left w:val="none" w:sz="0" w:space="0" w:color="auto"/>
        <w:bottom w:val="none" w:sz="0" w:space="0" w:color="auto"/>
        <w:right w:val="none" w:sz="0" w:space="0" w:color="auto"/>
      </w:divBdr>
    </w:div>
    <w:div w:id="767509777">
      <w:bodyDiv w:val="1"/>
      <w:marLeft w:val="0"/>
      <w:marRight w:val="0"/>
      <w:marTop w:val="0"/>
      <w:marBottom w:val="0"/>
      <w:divBdr>
        <w:top w:val="none" w:sz="0" w:space="0" w:color="auto"/>
        <w:left w:val="none" w:sz="0" w:space="0" w:color="auto"/>
        <w:bottom w:val="none" w:sz="0" w:space="0" w:color="auto"/>
        <w:right w:val="none" w:sz="0" w:space="0" w:color="auto"/>
      </w:divBdr>
    </w:div>
    <w:div w:id="787815921">
      <w:bodyDiv w:val="1"/>
      <w:marLeft w:val="0"/>
      <w:marRight w:val="0"/>
      <w:marTop w:val="0"/>
      <w:marBottom w:val="0"/>
      <w:divBdr>
        <w:top w:val="none" w:sz="0" w:space="0" w:color="auto"/>
        <w:left w:val="none" w:sz="0" w:space="0" w:color="auto"/>
        <w:bottom w:val="none" w:sz="0" w:space="0" w:color="auto"/>
        <w:right w:val="none" w:sz="0" w:space="0" w:color="auto"/>
      </w:divBdr>
    </w:div>
    <w:div w:id="791481312">
      <w:bodyDiv w:val="1"/>
      <w:marLeft w:val="0"/>
      <w:marRight w:val="0"/>
      <w:marTop w:val="0"/>
      <w:marBottom w:val="0"/>
      <w:divBdr>
        <w:top w:val="none" w:sz="0" w:space="0" w:color="auto"/>
        <w:left w:val="none" w:sz="0" w:space="0" w:color="auto"/>
        <w:bottom w:val="none" w:sz="0" w:space="0" w:color="auto"/>
        <w:right w:val="none" w:sz="0" w:space="0" w:color="auto"/>
      </w:divBdr>
    </w:div>
    <w:div w:id="792134168">
      <w:bodyDiv w:val="1"/>
      <w:marLeft w:val="0"/>
      <w:marRight w:val="0"/>
      <w:marTop w:val="0"/>
      <w:marBottom w:val="0"/>
      <w:divBdr>
        <w:top w:val="none" w:sz="0" w:space="0" w:color="auto"/>
        <w:left w:val="none" w:sz="0" w:space="0" w:color="auto"/>
        <w:bottom w:val="none" w:sz="0" w:space="0" w:color="auto"/>
        <w:right w:val="none" w:sz="0" w:space="0" w:color="auto"/>
      </w:divBdr>
    </w:div>
    <w:div w:id="796725338">
      <w:bodyDiv w:val="1"/>
      <w:marLeft w:val="0"/>
      <w:marRight w:val="0"/>
      <w:marTop w:val="0"/>
      <w:marBottom w:val="0"/>
      <w:divBdr>
        <w:top w:val="none" w:sz="0" w:space="0" w:color="auto"/>
        <w:left w:val="none" w:sz="0" w:space="0" w:color="auto"/>
        <w:bottom w:val="none" w:sz="0" w:space="0" w:color="auto"/>
        <w:right w:val="none" w:sz="0" w:space="0" w:color="auto"/>
      </w:divBdr>
    </w:div>
    <w:div w:id="800926636">
      <w:bodyDiv w:val="1"/>
      <w:marLeft w:val="0"/>
      <w:marRight w:val="0"/>
      <w:marTop w:val="0"/>
      <w:marBottom w:val="0"/>
      <w:divBdr>
        <w:top w:val="none" w:sz="0" w:space="0" w:color="auto"/>
        <w:left w:val="none" w:sz="0" w:space="0" w:color="auto"/>
        <w:bottom w:val="none" w:sz="0" w:space="0" w:color="auto"/>
        <w:right w:val="none" w:sz="0" w:space="0" w:color="auto"/>
      </w:divBdr>
    </w:div>
    <w:div w:id="820849578">
      <w:bodyDiv w:val="1"/>
      <w:marLeft w:val="0"/>
      <w:marRight w:val="0"/>
      <w:marTop w:val="0"/>
      <w:marBottom w:val="0"/>
      <w:divBdr>
        <w:top w:val="none" w:sz="0" w:space="0" w:color="auto"/>
        <w:left w:val="none" w:sz="0" w:space="0" w:color="auto"/>
        <w:bottom w:val="none" w:sz="0" w:space="0" w:color="auto"/>
        <w:right w:val="none" w:sz="0" w:space="0" w:color="auto"/>
      </w:divBdr>
    </w:div>
    <w:div w:id="833182981">
      <w:bodyDiv w:val="1"/>
      <w:marLeft w:val="0"/>
      <w:marRight w:val="0"/>
      <w:marTop w:val="0"/>
      <w:marBottom w:val="0"/>
      <w:divBdr>
        <w:top w:val="none" w:sz="0" w:space="0" w:color="auto"/>
        <w:left w:val="none" w:sz="0" w:space="0" w:color="auto"/>
        <w:bottom w:val="none" w:sz="0" w:space="0" w:color="auto"/>
        <w:right w:val="none" w:sz="0" w:space="0" w:color="auto"/>
      </w:divBdr>
    </w:div>
    <w:div w:id="838349418">
      <w:bodyDiv w:val="1"/>
      <w:marLeft w:val="0"/>
      <w:marRight w:val="0"/>
      <w:marTop w:val="0"/>
      <w:marBottom w:val="0"/>
      <w:divBdr>
        <w:top w:val="none" w:sz="0" w:space="0" w:color="auto"/>
        <w:left w:val="none" w:sz="0" w:space="0" w:color="auto"/>
        <w:bottom w:val="none" w:sz="0" w:space="0" w:color="auto"/>
        <w:right w:val="none" w:sz="0" w:space="0" w:color="auto"/>
      </w:divBdr>
    </w:div>
    <w:div w:id="847405447">
      <w:bodyDiv w:val="1"/>
      <w:marLeft w:val="0"/>
      <w:marRight w:val="0"/>
      <w:marTop w:val="0"/>
      <w:marBottom w:val="0"/>
      <w:divBdr>
        <w:top w:val="none" w:sz="0" w:space="0" w:color="auto"/>
        <w:left w:val="none" w:sz="0" w:space="0" w:color="auto"/>
        <w:bottom w:val="none" w:sz="0" w:space="0" w:color="auto"/>
        <w:right w:val="none" w:sz="0" w:space="0" w:color="auto"/>
      </w:divBdr>
    </w:div>
    <w:div w:id="858156380">
      <w:bodyDiv w:val="1"/>
      <w:marLeft w:val="0"/>
      <w:marRight w:val="0"/>
      <w:marTop w:val="0"/>
      <w:marBottom w:val="0"/>
      <w:divBdr>
        <w:top w:val="none" w:sz="0" w:space="0" w:color="auto"/>
        <w:left w:val="none" w:sz="0" w:space="0" w:color="auto"/>
        <w:bottom w:val="none" w:sz="0" w:space="0" w:color="auto"/>
        <w:right w:val="none" w:sz="0" w:space="0" w:color="auto"/>
      </w:divBdr>
    </w:div>
    <w:div w:id="860244835">
      <w:bodyDiv w:val="1"/>
      <w:marLeft w:val="0"/>
      <w:marRight w:val="0"/>
      <w:marTop w:val="0"/>
      <w:marBottom w:val="0"/>
      <w:divBdr>
        <w:top w:val="none" w:sz="0" w:space="0" w:color="auto"/>
        <w:left w:val="none" w:sz="0" w:space="0" w:color="auto"/>
        <w:bottom w:val="none" w:sz="0" w:space="0" w:color="auto"/>
        <w:right w:val="none" w:sz="0" w:space="0" w:color="auto"/>
      </w:divBdr>
    </w:div>
    <w:div w:id="867448668">
      <w:bodyDiv w:val="1"/>
      <w:marLeft w:val="0"/>
      <w:marRight w:val="0"/>
      <w:marTop w:val="0"/>
      <w:marBottom w:val="0"/>
      <w:divBdr>
        <w:top w:val="none" w:sz="0" w:space="0" w:color="auto"/>
        <w:left w:val="none" w:sz="0" w:space="0" w:color="auto"/>
        <w:bottom w:val="none" w:sz="0" w:space="0" w:color="auto"/>
        <w:right w:val="none" w:sz="0" w:space="0" w:color="auto"/>
      </w:divBdr>
    </w:div>
    <w:div w:id="869729311">
      <w:bodyDiv w:val="1"/>
      <w:marLeft w:val="0"/>
      <w:marRight w:val="0"/>
      <w:marTop w:val="0"/>
      <w:marBottom w:val="0"/>
      <w:divBdr>
        <w:top w:val="none" w:sz="0" w:space="0" w:color="auto"/>
        <w:left w:val="none" w:sz="0" w:space="0" w:color="auto"/>
        <w:bottom w:val="none" w:sz="0" w:space="0" w:color="auto"/>
        <w:right w:val="none" w:sz="0" w:space="0" w:color="auto"/>
      </w:divBdr>
    </w:div>
    <w:div w:id="870530824">
      <w:bodyDiv w:val="1"/>
      <w:marLeft w:val="0"/>
      <w:marRight w:val="0"/>
      <w:marTop w:val="0"/>
      <w:marBottom w:val="0"/>
      <w:divBdr>
        <w:top w:val="none" w:sz="0" w:space="0" w:color="auto"/>
        <w:left w:val="none" w:sz="0" w:space="0" w:color="auto"/>
        <w:bottom w:val="none" w:sz="0" w:space="0" w:color="auto"/>
        <w:right w:val="none" w:sz="0" w:space="0" w:color="auto"/>
      </w:divBdr>
    </w:div>
    <w:div w:id="874387913">
      <w:bodyDiv w:val="1"/>
      <w:marLeft w:val="0"/>
      <w:marRight w:val="0"/>
      <w:marTop w:val="0"/>
      <w:marBottom w:val="0"/>
      <w:divBdr>
        <w:top w:val="none" w:sz="0" w:space="0" w:color="auto"/>
        <w:left w:val="none" w:sz="0" w:space="0" w:color="auto"/>
        <w:bottom w:val="none" w:sz="0" w:space="0" w:color="auto"/>
        <w:right w:val="none" w:sz="0" w:space="0" w:color="auto"/>
      </w:divBdr>
    </w:div>
    <w:div w:id="877548496">
      <w:bodyDiv w:val="1"/>
      <w:marLeft w:val="0"/>
      <w:marRight w:val="0"/>
      <w:marTop w:val="0"/>
      <w:marBottom w:val="0"/>
      <w:divBdr>
        <w:top w:val="none" w:sz="0" w:space="0" w:color="auto"/>
        <w:left w:val="none" w:sz="0" w:space="0" w:color="auto"/>
        <w:bottom w:val="none" w:sz="0" w:space="0" w:color="auto"/>
        <w:right w:val="none" w:sz="0" w:space="0" w:color="auto"/>
      </w:divBdr>
    </w:div>
    <w:div w:id="877932542">
      <w:bodyDiv w:val="1"/>
      <w:marLeft w:val="0"/>
      <w:marRight w:val="0"/>
      <w:marTop w:val="0"/>
      <w:marBottom w:val="0"/>
      <w:divBdr>
        <w:top w:val="none" w:sz="0" w:space="0" w:color="auto"/>
        <w:left w:val="none" w:sz="0" w:space="0" w:color="auto"/>
        <w:bottom w:val="none" w:sz="0" w:space="0" w:color="auto"/>
        <w:right w:val="none" w:sz="0" w:space="0" w:color="auto"/>
      </w:divBdr>
    </w:div>
    <w:div w:id="895091548">
      <w:bodyDiv w:val="1"/>
      <w:marLeft w:val="0"/>
      <w:marRight w:val="0"/>
      <w:marTop w:val="0"/>
      <w:marBottom w:val="0"/>
      <w:divBdr>
        <w:top w:val="none" w:sz="0" w:space="0" w:color="auto"/>
        <w:left w:val="none" w:sz="0" w:space="0" w:color="auto"/>
        <w:bottom w:val="none" w:sz="0" w:space="0" w:color="auto"/>
        <w:right w:val="none" w:sz="0" w:space="0" w:color="auto"/>
      </w:divBdr>
    </w:div>
    <w:div w:id="899679876">
      <w:bodyDiv w:val="1"/>
      <w:marLeft w:val="0"/>
      <w:marRight w:val="0"/>
      <w:marTop w:val="0"/>
      <w:marBottom w:val="0"/>
      <w:divBdr>
        <w:top w:val="none" w:sz="0" w:space="0" w:color="auto"/>
        <w:left w:val="none" w:sz="0" w:space="0" w:color="auto"/>
        <w:bottom w:val="none" w:sz="0" w:space="0" w:color="auto"/>
        <w:right w:val="none" w:sz="0" w:space="0" w:color="auto"/>
      </w:divBdr>
    </w:div>
    <w:div w:id="917206040">
      <w:bodyDiv w:val="1"/>
      <w:marLeft w:val="0"/>
      <w:marRight w:val="0"/>
      <w:marTop w:val="0"/>
      <w:marBottom w:val="0"/>
      <w:divBdr>
        <w:top w:val="none" w:sz="0" w:space="0" w:color="auto"/>
        <w:left w:val="none" w:sz="0" w:space="0" w:color="auto"/>
        <w:bottom w:val="none" w:sz="0" w:space="0" w:color="auto"/>
        <w:right w:val="none" w:sz="0" w:space="0" w:color="auto"/>
      </w:divBdr>
    </w:div>
    <w:div w:id="928123684">
      <w:bodyDiv w:val="1"/>
      <w:marLeft w:val="0"/>
      <w:marRight w:val="0"/>
      <w:marTop w:val="0"/>
      <w:marBottom w:val="0"/>
      <w:divBdr>
        <w:top w:val="none" w:sz="0" w:space="0" w:color="auto"/>
        <w:left w:val="none" w:sz="0" w:space="0" w:color="auto"/>
        <w:bottom w:val="none" w:sz="0" w:space="0" w:color="auto"/>
        <w:right w:val="none" w:sz="0" w:space="0" w:color="auto"/>
      </w:divBdr>
    </w:div>
    <w:div w:id="929313783">
      <w:bodyDiv w:val="1"/>
      <w:marLeft w:val="0"/>
      <w:marRight w:val="0"/>
      <w:marTop w:val="0"/>
      <w:marBottom w:val="0"/>
      <w:divBdr>
        <w:top w:val="none" w:sz="0" w:space="0" w:color="auto"/>
        <w:left w:val="none" w:sz="0" w:space="0" w:color="auto"/>
        <w:bottom w:val="none" w:sz="0" w:space="0" w:color="auto"/>
        <w:right w:val="none" w:sz="0" w:space="0" w:color="auto"/>
      </w:divBdr>
    </w:div>
    <w:div w:id="970401753">
      <w:bodyDiv w:val="1"/>
      <w:marLeft w:val="0"/>
      <w:marRight w:val="0"/>
      <w:marTop w:val="0"/>
      <w:marBottom w:val="0"/>
      <w:divBdr>
        <w:top w:val="none" w:sz="0" w:space="0" w:color="auto"/>
        <w:left w:val="none" w:sz="0" w:space="0" w:color="auto"/>
        <w:bottom w:val="none" w:sz="0" w:space="0" w:color="auto"/>
        <w:right w:val="none" w:sz="0" w:space="0" w:color="auto"/>
      </w:divBdr>
    </w:div>
    <w:div w:id="971863367">
      <w:bodyDiv w:val="1"/>
      <w:marLeft w:val="0"/>
      <w:marRight w:val="0"/>
      <w:marTop w:val="0"/>
      <w:marBottom w:val="0"/>
      <w:divBdr>
        <w:top w:val="none" w:sz="0" w:space="0" w:color="auto"/>
        <w:left w:val="none" w:sz="0" w:space="0" w:color="auto"/>
        <w:bottom w:val="none" w:sz="0" w:space="0" w:color="auto"/>
        <w:right w:val="none" w:sz="0" w:space="0" w:color="auto"/>
      </w:divBdr>
    </w:div>
    <w:div w:id="974025924">
      <w:bodyDiv w:val="1"/>
      <w:marLeft w:val="0"/>
      <w:marRight w:val="0"/>
      <w:marTop w:val="0"/>
      <w:marBottom w:val="0"/>
      <w:divBdr>
        <w:top w:val="none" w:sz="0" w:space="0" w:color="auto"/>
        <w:left w:val="none" w:sz="0" w:space="0" w:color="auto"/>
        <w:bottom w:val="none" w:sz="0" w:space="0" w:color="auto"/>
        <w:right w:val="none" w:sz="0" w:space="0" w:color="auto"/>
      </w:divBdr>
    </w:div>
    <w:div w:id="977876426">
      <w:bodyDiv w:val="1"/>
      <w:marLeft w:val="0"/>
      <w:marRight w:val="0"/>
      <w:marTop w:val="0"/>
      <w:marBottom w:val="0"/>
      <w:divBdr>
        <w:top w:val="none" w:sz="0" w:space="0" w:color="auto"/>
        <w:left w:val="none" w:sz="0" w:space="0" w:color="auto"/>
        <w:bottom w:val="none" w:sz="0" w:space="0" w:color="auto"/>
        <w:right w:val="none" w:sz="0" w:space="0" w:color="auto"/>
      </w:divBdr>
    </w:div>
    <w:div w:id="984049967">
      <w:bodyDiv w:val="1"/>
      <w:marLeft w:val="0"/>
      <w:marRight w:val="0"/>
      <w:marTop w:val="0"/>
      <w:marBottom w:val="0"/>
      <w:divBdr>
        <w:top w:val="none" w:sz="0" w:space="0" w:color="auto"/>
        <w:left w:val="none" w:sz="0" w:space="0" w:color="auto"/>
        <w:bottom w:val="none" w:sz="0" w:space="0" w:color="auto"/>
        <w:right w:val="none" w:sz="0" w:space="0" w:color="auto"/>
      </w:divBdr>
    </w:div>
    <w:div w:id="985209622">
      <w:bodyDiv w:val="1"/>
      <w:marLeft w:val="0"/>
      <w:marRight w:val="0"/>
      <w:marTop w:val="0"/>
      <w:marBottom w:val="0"/>
      <w:divBdr>
        <w:top w:val="none" w:sz="0" w:space="0" w:color="auto"/>
        <w:left w:val="none" w:sz="0" w:space="0" w:color="auto"/>
        <w:bottom w:val="none" w:sz="0" w:space="0" w:color="auto"/>
        <w:right w:val="none" w:sz="0" w:space="0" w:color="auto"/>
      </w:divBdr>
    </w:div>
    <w:div w:id="985816706">
      <w:bodyDiv w:val="1"/>
      <w:marLeft w:val="0"/>
      <w:marRight w:val="0"/>
      <w:marTop w:val="0"/>
      <w:marBottom w:val="0"/>
      <w:divBdr>
        <w:top w:val="none" w:sz="0" w:space="0" w:color="auto"/>
        <w:left w:val="none" w:sz="0" w:space="0" w:color="auto"/>
        <w:bottom w:val="none" w:sz="0" w:space="0" w:color="auto"/>
        <w:right w:val="none" w:sz="0" w:space="0" w:color="auto"/>
      </w:divBdr>
    </w:div>
    <w:div w:id="987322884">
      <w:bodyDiv w:val="1"/>
      <w:marLeft w:val="0"/>
      <w:marRight w:val="0"/>
      <w:marTop w:val="0"/>
      <w:marBottom w:val="0"/>
      <w:divBdr>
        <w:top w:val="none" w:sz="0" w:space="0" w:color="auto"/>
        <w:left w:val="none" w:sz="0" w:space="0" w:color="auto"/>
        <w:bottom w:val="none" w:sz="0" w:space="0" w:color="auto"/>
        <w:right w:val="none" w:sz="0" w:space="0" w:color="auto"/>
      </w:divBdr>
    </w:div>
    <w:div w:id="1062486977">
      <w:bodyDiv w:val="1"/>
      <w:marLeft w:val="0"/>
      <w:marRight w:val="0"/>
      <w:marTop w:val="0"/>
      <w:marBottom w:val="0"/>
      <w:divBdr>
        <w:top w:val="none" w:sz="0" w:space="0" w:color="auto"/>
        <w:left w:val="none" w:sz="0" w:space="0" w:color="auto"/>
        <w:bottom w:val="none" w:sz="0" w:space="0" w:color="auto"/>
        <w:right w:val="none" w:sz="0" w:space="0" w:color="auto"/>
      </w:divBdr>
    </w:div>
    <w:div w:id="1074661693">
      <w:bodyDiv w:val="1"/>
      <w:marLeft w:val="0"/>
      <w:marRight w:val="0"/>
      <w:marTop w:val="0"/>
      <w:marBottom w:val="0"/>
      <w:divBdr>
        <w:top w:val="none" w:sz="0" w:space="0" w:color="auto"/>
        <w:left w:val="none" w:sz="0" w:space="0" w:color="auto"/>
        <w:bottom w:val="none" w:sz="0" w:space="0" w:color="auto"/>
        <w:right w:val="none" w:sz="0" w:space="0" w:color="auto"/>
      </w:divBdr>
    </w:div>
    <w:div w:id="1105229382">
      <w:bodyDiv w:val="1"/>
      <w:marLeft w:val="0"/>
      <w:marRight w:val="0"/>
      <w:marTop w:val="0"/>
      <w:marBottom w:val="0"/>
      <w:divBdr>
        <w:top w:val="none" w:sz="0" w:space="0" w:color="auto"/>
        <w:left w:val="none" w:sz="0" w:space="0" w:color="auto"/>
        <w:bottom w:val="none" w:sz="0" w:space="0" w:color="auto"/>
        <w:right w:val="none" w:sz="0" w:space="0" w:color="auto"/>
      </w:divBdr>
    </w:div>
    <w:div w:id="1145776766">
      <w:bodyDiv w:val="1"/>
      <w:marLeft w:val="0"/>
      <w:marRight w:val="0"/>
      <w:marTop w:val="0"/>
      <w:marBottom w:val="0"/>
      <w:divBdr>
        <w:top w:val="none" w:sz="0" w:space="0" w:color="auto"/>
        <w:left w:val="none" w:sz="0" w:space="0" w:color="auto"/>
        <w:bottom w:val="none" w:sz="0" w:space="0" w:color="auto"/>
        <w:right w:val="none" w:sz="0" w:space="0" w:color="auto"/>
      </w:divBdr>
    </w:div>
    <w:div w:id="1152451166">
      <w:bodyDiv w:val="1"/>
      <w:marLeft w:val="0"/>
      <w:marRight w:val="0"/>
      <w:marTop w:val="0"/>
      <w:marBottom w:val="0"/>
      <w:divBdr>
        <w:top w:val="none" w:sz="0" w:space="0" w:color="auto"/>
        <w:left w:val="none" w:sz="0" w:space="0" w:color="auto"/>
        <w:bottom w:val="none" w:sz="0" w:space="0" w:color="auto"/>
        <w:right w:val="none" w:sz="0" w:space="0" w:color="auto"/>
      </w:divBdr>
    </w:div>
    <w:div w:id="1168786022">
      <w:bodyDiv w:val="1"/>
      <w:marLeft w:val="0"/>
      <w:marRight w:val="0"/>
      <w:marTop w:val="0"/>
      <w:marBottom w:val="0"/>
      <w:divBdr>
        <w:top w:val="none" w:sz="0" w:space="0" w:color="auto"/>
        <w:left w:val="none" w:sz="0" w:space="0" w:color="auto"/>
        <w:bottom w:val="none" w:sz="0" w:space="0" w:color="auto"/>
        <w:right w:val="none" w:sz="0" w:space="0" w:color="auto"/>
      </w:divBdr>
    </w:div>
    <w:div w:id="1178621568">
      <w:bodyDiv w:val="1"/>
      <w:marLeft w:val="0"/>
      <w:marRight w:val="0"/>
      <w:marTop w:val="0"/>
      <w:marBottom w:val="0"/>
      <w:divBdr>
        <w:top w:val="none" w:sz="0" w:space="0" w:color="auto"/>
        <w:left w:val="none" w:sz="0" w:space="0" w:color="auto"/>
        <w:bottom w:val="none" w:sz="0" w:space="0" w:color="auto"/>
        <w:right w:val="none" w:sz="0" w:space="0" w:color="auto"/>
      </w:divBdr>
    </w:div>
    <w:div w:id="1182010797">
      <w:bodyDiv w:val="1"/>
      <w:marLeft w:val="0"/>
      <w:marRight w:val="0"/>
      <w:marTop w:val="0"/>
      <w:marBottom w:val="0"/>
      <w:divBdr>
        <w:top w:val="none" w:sz="0" w:space="0" w:color="auto"/>
        <w:left w:val="none" w:sz="0" w:space="0" w:color="auto"/>
        <w:bottom w:val="none" w:sz="0" w:space="0" w:color="auto"/>
        <w:right w:val="none" w:sz="0" w:space="0" w:color="auto"/>
      </w:divBdr>
    </w:div>
    <w:div w:id="1191920801">
      <w:bodyDiv w:val="1"/>
      <w:marLeft w:val="0"/>
      <w:marRight w:val="0"/>
      <w:marTop w:val="0"/>
      <w:marBottom w:val="0"/>
      <w:divBdr>
        <w:top w:val="none" w:sz="0" w:space="0" w:color="auto"/>
        <w:left w:val="none" w:sz="0" w:space="0" w:color="auto"/>
        <w:bottom w:val="none" w:sz="0" w:space="0" w:color="auto"/>
        <w:right w:val="none" w:sz="0" w:space="0" w:color="auto"/>
      </w:divBdr>
    </w:div>
    <w:div w:id="1193109236">
      <w:bodyDiv w:val="1"/>
      <w:marLeft w:val="0"/>
      <w:marRight w:val="0"/>
      <w:marTop w:val="0"/>
      <w:marBottom w:val="0"/>
      <w:divBdr>
        <w:top w:val="none" w:sz="0" w:space="0" w:color="auto"/>
        <w:left w:val="none" w:sz="0" w:space="0" w:color="auto"/>
        <w:bottom w:val="none" w:sz="0" w:space="0" w:color="auto"/>
        <w:right w:val="none" w:sz="0" w:space="0" w:color="auto"/>
      </w:divBdr>
    </w:div>
    <w:div w:id="1195771601">
      <w:bodyDiv w:val="1"/>
      <w:marLeft w:val="0"/>
      <w:marRight w:val="0"/>
      <w:marTop w:val="0"/>
      <w:marBottom w:val="0"/>
      <w:divBdr>
        <w:top w:val="none" w:sz="0" w:space="0" w:color="auto"/>
        <w:left w:val="none" w:sz="0" w:space="0" w:color="auto"/>
        <w:bottom w:val="none" w:sz="0" w:space="0" w:color="auto"/>
        <w:right w:val="none" w:sz="0" w:space="0" w:color="auto"/>
      </w:divBdr>
    </w:div>
    <w:div w:id="1203591486">
      <w:bodyDiv w:val="1"/>
      <w:marLeft w:val="0"/>
      <w:marRight w:val="0"/>
      <w:marTop w:val="0"/>
      <w:marBottom w:val="0"/>
      <w:divBdr>
        <w:top w:val="none" w:sz="0" w:space="0" w:color="auto"/>
        <w:left w:val="none" w:sz="0" w:space="0" w:color="auto"/>
        <w:bottom w:val="none" w:sz="0" w:space="0" w:color="auto"/>
        <w:right w:val="none" w:sz="0" w:space="0" w:color="auto"/>
      </w:divBdr>
    </w:div>
    <w:div w:id="1212381079">
      <w:bodyDiv w:val="1"/>
      <w:marLeft w:val="0"/>
      <w:marRight w:val="0"/>
      <w:marTop w:val="0"/>
      <w:marBottom w:val="0"/>
      <w:divBdr>
        <w:top w:val="none" w:sz="0" w:space="0" w:color="auto"/>
        <w:left w:val="none" w:sz="0" w:space="0" w:color="auto"/>
        <w:bottom w:val="none" w:sz="0" w:space="0" w:color="auto"/>
        <w:right w:val="none" w:sz="0" w:space="0" w:color="auto"/>
      </w:divBdr>
    </w:div>
    <w:div w:id="1212618084">
      <w:bodyDiv w:val="1"/>
      <w:marLeft w:val="0"/>
      <w:marRight w:val="0"/>
      <w:marTop w:val="0"/>
      <w:marBottom w:val="0"/>
      <w:divBdr>
        <w:top w:val="none" w:sz="0" w:space="0" w:color="auto"/>
        <w:left w:val="none" w:sz="0" w:space="0" w:color="auto"/>
        <w:bottom w:val="none" w:sz="0" w:space="0" w:color="auto"/>
        <w:right w:val="none" w:sz="0" w:space="0" w:color="auto"/>
      </w:divBdr>
    </w:div>
    <w:div w:id="1217089781">
      <w:bodyDiv w:val="1"/>
      <w:marLeft w:val="0"/>
      <w:marRight w:val="0"/>
      <w:marTop w:val="0"/>
      <w:marBottom w:val="0"/>
      <w:divBdr>
        <w:top w:val="none" w:sz="0" w:space="0" w:color="auto"/>
        <w:left w:val="none" w:sz="0" w:space="0" w:color="auto"/>
        <w:bottom w:val="none" w:sz="0" w:space="0" w:color="auto"/>
        <w:right w:val="none" w:sz="0" w:space="0" w:color="auto"/>
      </w:divBdr>
    </w:div>
    <w:div w:id="1237739405">
      <w:bodyDiv w:val="1"/>
      <w:marLeft w:val="0"/>
      <w:marRight w:val="0"/>
      <w:marTop w:val="0"/>
      <w:marBottom w:val="0"/>
      <w:divBdr>
        <w:top w:val="none" w:sz="0" w:space="0" w:color="auto"/>
        <w:left w:val="none" w:sz="0" w:space="0" w:color="auto"/>
        <w:bottom w:val="none" w:sz="0" w:space="0" w:color="auto"/>
        <w:right w:val="none" w:sz="0" w:space="0" w:color="auto"/>
      </w:divBdr>
    </w:div>
    <w:div w:id="1246066561">
      <w:bodyDiv w:val="1"/>
      <w:marLeft w:val="0"/>
      <w:marRight w:val="0"/>
      <w:marTop w:val="0"/>
      <w:marBottom w:val="0"/>
      <w:divBdr>
        <w:top w:val="none" w:sz="0" w:space="0" w:color="auto"/>
        <w:left w:val="none" w:sz="0" w:space="0" w:color="auto"/>
        <w:bottom w:val="none" w:sz="0" w:space="0" w:color="auto"/>
        <w:right w:val="none" w:sz="0" w:space="0" w:color="auto"/>
      </w:divBdr>
    </w:div>
    <w:div w:id="1256018151">
      <w:bodyDiv w:val="1"/>
      <w:marLeft w:val="0"/>
      <w:marRight w:val="0"/>
      <w:marTop w:val="0"/>
      <w:marBottom w:val="0"/>
      <w:divBdr>
        <w:top w:val="none" w:sz="0" w:space="0" w:color="auto"/>
        <w:left w:val="none" w:sz="0" w:space="0" w:color="auto"/>
        <w:bottom w:val="none" w:sz="0" w:space="0" w:color="auto"/>
        <w:right w:val="none" w:sz="0" w:space="0" w:color="auto"/>
      </w:divBdr>
    </w:div>
    <w:div w:id="1272467423">
      <w:bodyDiv w:val="1"/>
      <w:marLeft w:val="0"/>
      <w:marRight w:val="0"/>
      <w:marTop w:val="0"/>
      <w:marBottom w:val="0"/>
      <w:divBdr>
        <w:top w:val="none" w:sz="0" w:space="0" w:color="auto"/>
        <w:left w:val="none" w:sz="0" w:space="0" w:color="auto"/>
        <w:bottom w:val="none" w:sz="0" w:space="0" w:color="auto"/>
        <w:right w:val="none" w:sz="0" w:space="0" w:color="auto"/>
      </w:divBdr>
    </w:div>
    <w:div w:id="1297564621">
      <w:bodyDiv w:val="1"/>
      <w:marLeft w:val="0"/>
      <w:marRight w:val="0"/>
      <w:marTop w:val="0"/>
      <w:marBottom w:val="0"/>
      <w:divBdr>
        <w:top w:val="none" w:sz="0" w:space="0" w:color="auto"/>
        <w:left w:val="none" w:sz="0" w:space="0" w:color="auto"/>
        <w:bottom w:val="none" w:sz="0" w:space="0" w:color="auto"/>
        <w:right w:val="none" w:sz="0" w:space="0" w:color="auto"/>
      </w:divBdr>
    </w:div>
    <w:div w:id="1336223970">
      <w:bodyDiv w:val="1"/>
      <w:marLeft w:val="0"/>
      <w:marRight w:val="0"/>
      <w:marTop w:val="0"/>
      <w:marBottom w:val="0"/>
      <w:divBdr>
        <w:top w:val="none" w:sz="0" w:space="0" w:color="auto"/>
        <w:left w:val="none" w:sz="0" w:space="0" w:color="auto"/>
        <w:bottom w:val="none" w:sz="0" w:space="0" w:color="auto"/>
        <w:right w:val="none" w:sz="0" w:space="0" w:color="auto"/>
      </w:divBdr>
    </w:div>
    <w:div w:id="1338575937">
      <w:bodyDiv w:val="1"/>
      <w:marLeft w:val="0"/>
      <w:marRight w:val="0"/>
      <w:marTop w:val="0"/>
      <w:marBottom w:val="0"/>
      <w:divBdr>
        <w:top w:val="none" w:sz="0" w:space="0" w:color="auto"/>
        <w:left w:val="none" w:sz="0" w:space="0" w:color="auto"/>
        <w:bottom w:val="none" w:sz="0" w:space="0" w:color="auto"/>
        <w:right w:val="none" w:sz="0" w:space="0" w:color="auto"/>
      </w:divBdr>
    </w:div>
    <w:div w:id="1368066223">
      <w:bodyDiv w:val="1"/>
      <w:marLeft w:val="0"/>
      <w:marRight w:val="0"/>
      <w:marTop w:val="0"/>
      <w:marBottom w:val="0"/>
      <w:divBdr>
        <w:top w:val="none" w:sz="0" w:space="0" w:color="auto"/>
        <w:left w:val="none" w:sz="0" w:space="0" w:color="auto"/>
        <w:bottom w:val="none" w:sz="0" w:space="0" w:color="auto"/>
        <w:right w:val="none" w:sz="0" w:space="0" w:color="auto"/>
      </w:divBdr>
    </w:div>
    <w:div w:id="1375815304">
      <w:bodyDiv w:val="1"/>
      <w:marLeft w:val="0"/>
      <w:marRight w:val="0"/>
      <w:marTop w:val="0"/>
      <w:marBottom w:val="0"/>
      <w:divBdr>
        <w:top w:val="none" w:sz="0" w:space="0" w:color="auto"/>
        <w:left w:val="none" w:sz="0" w:space="0" w:color="auto"/>
        <w:bottom w:val="none" w:sz="0" w:space="0" w:color="auto"/>
        <w:right w:val="none" w:sz="0" w:space="0" w:color="auto"/>
      </w:divBdr>
    </w:div>
    <w:div w:id="1377510769">
      <w:bodyDiv w:val="1"/>
      <w:marLeft w:val="0"/>
      <w:marRight w:val="0"/>
      <w:marTop w:val="0"/>
      <w:marBottom w:val="0"/>
      <w:divBdr>
        <w:top w:val="none" w:sz="0" w:space="0" w:color="auto"/>
        <w:left w:val="none" w:sz="0" w:space="0" w:color="auto"/>
        <w:bottom w:val="none" w:sz="0" w:space="0" w:color="auto"/>
        <w:right w:val="none" w:sz="0" w:space="0" w:color="auto"/>
      </w:divBdr>
    </w:div>
    <w:div w:id="1392919321">
      <w:bodyDiv w:val="1"/>
      <w:marLeft w:val="0"/>
      <w:marRight w:val="0"/>
      <w:marTop w:val="0"/>
      <w:marBottom w:val="0"/>
      <w:divBdr>
        <w:top w:val="none" w:sz="0" w:space="0" w:color="auto"/>
        <w:left w:val="none" w:sz="0" w:space="0" w:color="auto"/>
        <w:bottom w:val="none" w:sz="0" w:space="0" w:color="auto"/>
        <w:right w:val="none" w:sz="0" w:space="0" w:color="auto"/>
      </w:divBdr>
    </w:div>
    <w:div w:id="1400906686">
      <w:bodyDiv w:val="1"/>
      <w:marLeft w:val="0"/>
      <w:marRight w:val="0"/>
      <w:marTop w:val="0"/>
      <w:marBottom w:val="0"/>
      <w:divBdr>
        <w:top w:val="none" w:sz="0" w:space="0" w:color="auto"/>
        <w:left w:val="none" w:sz="0" w:space="0" w:color="auto"/>
        <w:bottom w:val="none" w:sz="0" w:space="0" w:color="auto"/>
        <w:right w:val="none" w:sz="0" w:space="0" w:color="auto"/>
      </w:divBdr>
    </w:div>
    <w:div w:id="1419402035">
      <w:bodyDiv w:val="1"/>
      <w:marLeft w:val="0"/>
      <w:marRight w:val="0"/>
      <w:marTop w:val="0"/>
      <w:marBottom w:val="0"/>
      <w:divBdr>
        <w:top w:val="none" w:sz="0" w:space="0" w:color="auto"/>
        <w:left w:val="none" w:sz="0" w:space="0" w:color="auto"/>
        <w:bottom w:val="none" w:sz="0" w:space="0" w:color="auto"/>
        <w:right w:val="none" w:sz="0" w:space="0" w:color="auto"/>
      </w:divBdr>
    </w:div>
    <w:div w:id="1438988932">
      <w:bodyDiv w:val="1"/>
      <w:marLeft w:val="0"/>
      <w:marRight w:val="0"/>
      <w:marTop w:val="0"/>
      <w:marBottom w:val="0"/>
      <w:divBdr>
        <w:top w:val="none" w:sz="0" w:space="0" w:color="auto"/>
        <w:left w:val="none" w:sz="0" w:space="0" w:color="auto"/>
        <w:bottom w:val="none" w:sz="0" w:space="0" w:color="auto"/>
        <w:right w:val="none" w:sz="0" w:space="0" w:color="auto"/>
      </w:divBdr>
    </w:div>
    <w:div w:id="1443567895">
      <w:bodyDiv w:val="1"/>
      <w:marLeft w:val="0"/>
      <w:marRight w:val="0"/>
      <w:marTop w:val="0"/>
      <w:marBottom w:val="0"/>
      <w:divBdr>
        <w:top w:val="none" w:sz="0" w:space="0" w:color="auto"/>
        <w:left w:val="none" w:sz="0" w:space="0" w:color="auto"/>
        <w:bottom w:val="none" w:sz="0" w:space="0" w:color="auto"/>
        <w:right w:val="none" w:sz="0" w:space="0" w:color="auto"/>
      </w:divBdr>
    </w:div>
    <w:div w:id="1445464431">
      <w:bodyDiv w:val="1"/>
      <w:marLeft w:val="0"/>
      <w:marRight w:val="0"/>
      <w:marTop w:val="0"/>
      <w:marBottom w:val="0"/>
      <w:divBdr>
        <w:top w:val="none" w:sz="0" w:space="0" w:color="auto"/>
        <w:left w:val="none" w:sz="0" w:space="0" w:color="auto"/>
        <w:bottom w:val="none" w:sz="0" w:space="0" w:color="auto"/>
        <w:right w:val="none" w:sz="0" w:space="0" w:color="auto"/>
      </w:divBdr>
    </w:div>
    <w:div w:id="1464229653">
      <w:bodyDiv w:val="1"/>
      <w:marLeft w:val="0"/>
      <w:marRight w:val="0"/>
      <w:marTop w:val="0"/>
      <w:marBottom w:val="0"/>
      <w:divBdr>
        <w:top w:val="none" w:sz="0" w:space="0" w:color="auto"/>
        <w:left w:val="none" w:sz="0" w:space="0" w:color="auto"/>
        <w:bottom w:val="none" w:sz="0" w:space="0" w:color="auto"/>
        <w:right w:val="none" w:sz="0" w:space="0" w:color="auto"/>
      </w:divBdr>
    </w:div>
    <w:div w:id="1496341642">
      <w:bodyDiv w:val="1"/>
      <w:marLeft w:val="0"/>
      <w:marRight w:val="0"/>
      <w:marTop w:val="0"/>
      <w:marBottom w:val="0"/>
      <w:divBdr>
        <w:top w:val="none" w:sz="0" w:space="0" w:color="auto"/>
        <w:left w:val="none" w:sz="0" w:space="0" w:color="auto"/>
        <w:bottom w:val="none" w:sz="0" w:space="0" w:color="auto"/>
        <w:right w:val="none" w:sz="0" w:space="0" w:color="auto"/>
      </w:divBdr>
    </w:div>
    <w:div w:id="1512524026">
      <w:bodyDiv w:val="1"/>
      <w:marLeft w:val="0"/>
      <w:marRight w:val="0"/>
      <w:marTop w:val="0"/>
      <w:marBottom w:val="0"/>
      <w:divBdr>
        <w:top w:val="none" w:sz="0" w:space="0" w:color="auto"/>
        <w:left w:val="none" w:sz="0" w:space="0" w:color="auto"/>
        <w:bottom w:val="none" w:sz="0" w:space="0" w:color="auto"/>
        <w:right w:val="none" w:sz="0" w:space="0" w:color="auto"/>
      </w:divBdr>
    </w:div>
    <w:div w:id="1520436674">
      <w:bodyDiv w:val="1"/>
      <w:marLeft w:val="0"/>
      <w:marRight w:val="0"/>
      <w:marTop w:val="0"/>
      <w:marBottom w:val="0"/>
      <w:divBdr>
        <w:top w:val="none" w:sz="0" w:space="0" w:color="auto"/>
        <w:left w:val="none" w:sz="0" w:space="0" w:color="auto"/>
        <w:bottom w:val="none" w:sz="0" w:space="0" w:color="auto"/>
        <w:right w:val="none" w:sz="0" w:space="0" w:color="auto"/>
      </w:divBdr>
    </w:div>
    <w:div w:id="1527063348">
      <w:bodyDiv w:val="1"/>
      <w:marLeft w:val="0"/>
      <w:marRight w:val="0"/>
      <w:marTop w:val="0"/>
      <w:marBottom w:val="0"/>
      <w:divBdr>
        <w:top w:val="none" w:sz="0" w:space="0" w:color="auto"/>
        <w:left w:val="none" w:sz="0" w:space="0" w:color="auto"/>
        <w:bottom w:val="none" w:sz="0" w:space="0" w:color="auto"/>
        <w:right w:val="none" w:sz="0" w:space="0" w:color="auto"/>
      </w:divBdr>
    </w:div>
    <w:div w:id="1585451868">
      <w:bodyDiv w:val="1"/>
      <w:marLeft w:val="0"/>
      <w:marRight w:val="0"/>
      <w:marTop w:val="0"/>
      <w:marBottom w:val="0"/>
      <w:divBdr>
        <w:top w:val="none" w:sz="0" w:space="0" w:color="auto"/>
        <w:left w:val="none" w:sz="0" w:space="0" w:color="auto"/>
        <w:bottom w:val="none" w:sz="0" w:space="0" w:color="auto"/>
        <w:right w:val="none" w:sz="0" w:space="0" w:color="auto"/>
      </w:divBdr>
    </w:div>
    <w:div w:id="1594558106">
      <w:bodyDiv w:val="1"/>
      <w:marLeft w:val="0"/>
      <w:marRight w:val="0"/>
      <w:marTop w:val="0"/>
      <w:marBottom w:val="0"/>
      <w:divBdr>
        <w:top w:val="none" w:sz="0" w:space="0" w:color="auto"/>
        <w:left w:val="none" w:sz="0" w:space="0" w:color="auto"/>
        <w:bottom w:val="none" w:sz="0" w:space="0" w:color="auto"/>
        <w:right w:val="none" w:sz="0" w:space="0" w:color="auto"/>
      </w:divBdr>
    </w:div>
    <w:div w:id="1611663851">
      <w:bodyDiv w:val="1"/>
      <w:marLeft w:val="0"/>
      <w:marRight w:val="0"/>
      <w:marTop w:val="0"/>
      <w:marBottom w:val="0"/>
      <w:divBdr>
        <w:top w:val="none" w:sz="0" w:space="0" w:color="auto"/>
        <w:left w:val="none" w:sz="0" w:space="0" w:color="auto"/>
        <w:bottom w:val="none" w:sz="0" w:space="0" w:color="auto"/>
        <w:right w:val="none" w:sz="0" w:space="0" w:color="auto"/>
      </w:divBdr>
    </w:div>
    <w:div w:id="1614897875">
      <w:bodyDiv w:val="1"/>
      <w:marLeft w:val="0"/>
      <w:marRight w:val="0"/>
      <w:marTop w:val="0"/>
      <w:marBottom w:val="0"/>
      <w:divBdr>
        <w:top w:val="none" w:sz="0" w:space="0" w:color="auto"/>
        <w:left w:val="none" w:sz="0" w:space="0" w:color="auto"/>
        <w:bottom w:val="none" w:sz="0" w:space="0" w:color="auto"/>
        <w:right w:val="none" w:sz="0" w:space="0" w:color="auto"/>
      </w:divBdr>
    </w:div>
    <w:div w:id="1642076022">
      <w:bodyDiv w:val="1"/>
      <w:marLeft w:val="0"/>
      <w:marRight w:val="0"/>
      <w:marTop w:val="0"/>
      <w:marBottom w:val="0"/>
      <w:divBdr>
        <w:top w:val="none" w:sz="0" w:space="0" w:color="auto"/>
        <w:left w:val="none" w:sz="0" w:space="0" w:color="auto"/>
        <w:bottom w:val="none" w:sz="0" w:space="0" w:color="auto"/>
        <w:right w:val="none" w:sz="0" w:space="0" w:color="auto"/>
      </w:divBdr>
    </w:div>
    <w:div w:id="1645039013">
      <w:bodyDiv w:val="1"/>
      <w:marLeft w:val="0"/>
      <w:marRight w:val="0"/>
      <w:marTop w:val="0"/>
      <w:marBottom w:val="0"/>
      <w:divBdr>
        <w:top w:val="none" w:sz="0" w:space="0" w:color="auto"/>
        <w:left w:val="none" w:sz="0" w:space="0" w:color="auto"/>
        <w:bottom w:val="none" w:sz="0" w:space="0" w:color="auto"/>
        <w:right w:val="none" w:sz="0" w:space="0" w:color="auto"/>
      </w:divBdr>
    </w:div>
    <w:div w:id="1654068339">
      <w:bodyDiv w:val="1"/>
      <w:marLeft w:val="0"/>
      <w:marRight w:val="0"/>
      <w:marTop w:val="0"/>
      <w:marBottom w:val="0"/>
      <w:divBdr>
        <w:top w:val="none" w:sz="0" w:space="0" w:color="auto"/>
        <w:left w:val="none" w:sz="0" w:space="0" w:color="auto"/>
        <w:bottom w:val="none" w:sz="0" w:space="0" w:color="auto"/>
        <w:right w:val="none" w:sz="0" w:space="0" w:color="auto"/>
      </w:divBdr>
    </w:div>
    <w:div w:id="1677226897">
      <w:bodyDiv w:val="1"/>
      <w:marLeft w:val="0"/>
      <w:marRight w:val="0"/>
      <w:marTop w:val="0"/>
      <w:marBottom w:val="0"/>
      <w:divBdr>
        <w:top w:val="none" w:sz="0" w:space="0" w:color="auto"/>
        <w:left w:val="none" w:sz="0" w:space="0" w:color="auto"/>
        <w:bottom w:val="none" w:sz="0" w:space="0" w:color="auto"/>
        <w:right w:val="none" w:sz="0" w:space="0" w:color="auto"/>
      </w:divBdr>
    </w:div>
    <w:div w:id="1680112988">
      <w:bodyDiv w:val="1"/>
      <w:marLeft w:val="0"/>
      <w:marRight w:val="0"/>
      <w:marTop w:val="0"/>
      <w:marBottom w:val="0"/>
      <w:divBdr>
        <w:top w:val="none" w:sz="0" w:space="0" w:color="auto"/>
        <w:left w:val="none" w:sz="0" w:space="0" w:color="auto"/>
        <w:bottom w:val="none" w:sz="0" w:space="0" w:color="auto"/>
        <w:right w:val="none" w:sz="0" w:space="0" w:color="auto"/>
      </w:divBdr>
    </w:div>
    <w:div w:id="1702318239">
      <w:bodyDiv w:val="1"/>
      <w:marLeft w:val="0"/>
      <w:marRight w:val="0"/>
      <w:marTop w:val="0"/>
      <w:marBottom w:val="0"/>
      <w:divBdr>
        <w:top w:val="none" w:sz="0" w:space="0" w:color="auto"/>
        <w:left w:val="none" w:sz="0" w:space="0" w:color="auto"/>
        <w:bottom w:val="none" w:sz="0" w:space="0" w:color="auto"/>
        <w:right w:val="none" w:sz="0" w:space="0" w:color="auto"/>
      </w:divBdr>
    </w:div>
    <w:div w:id="1731877749">
      <w:bodyDiv w:val="1"/>
      <w:marLeft w:val="0"/>
      <w:marRight w:val="0"/>
      <w:marTop w:val="0"/>
      <w:marBottom w:val="0"/>
      <w:divBdr>
        <w:top w:val="none" w:sz="0" w:space="0" w:color="auto"/>
        <w:left w:val="none" w:sz="0" w:space="0" w:color="auto"/>
        <w:bottom w:val="none" w:sz="0" w:space="0" w:color="auto"/>
        <w:right w:val="none" w:sz="0" w:space="0" w:color="auto"/>
      </w:divBdr>
    </w:div>
    <w:div w:id="1735817211">
      <w:bodyDiv w:val="1"/>
      <w:marLeft w:val="0"/>
      <w:marRight w:val="0"/>
      <w:marTop w:val="0"/>
      <w:marBottom w:val="0"/>
      <w:divBdr>
        <w:top w:val="none" w:sz="0" w:space="0" w:color="auto"/>
        <w:left w:val="none" w:sz="0" w:space="0" w:color="auto"/>
        <w:bottom w:val="none" w:sz="0" w:space="0" w:color="auto"/>
        <w:right w:val="none" w:sz="0" w:space="0" w:color="auto"/>
      </w:divBdr>
    </w:div>
    <w:div w:id="1741369977">
      <w:bodyDiv w:val="1"/>
      <w:marLeft w:val="0"/>
      <w:marRight w:val="0"/>
      <w:marTop w:val="0"/>
      <w:marBottom w:val="0"/>
      <w:divBdr>
        <w:top w:val="none" w:sz="0" w:space="0" w:color="auto"/>
        <w:left w:val="none" w:sz="0" w:space="0" w:color="auto"/>
        <w:bottom w:val="none" w:sz="0" w:space="0" w:color="auto"/>
        <w:right w:val="none" w:sz="0" w:space="0" w:color="auto"/>
      </w:divBdr>
    </w:div>
    <w:div w:id="1750885668">
      <w:bodyDiv w:val="1"/>
      <w:marLeft w:val="0"/>
      <w:marRight w:val="0"/>
      <w:marTop w:val="0"/>
      <w:marBottom w:val="0"/>
      <w:divBdr>
        <w:top w:val="none" w:sz="0" w:space="0" w:color="auto"/>
        <w:left w:val="none" w:sz="0" w:space="0" w:color="auto"/>
        <w:bottom w:val="none" w:sz="0" w:space="0" w:color="auto"/>
        <w:right w:val="none" w:sz="0" w:space="0" w:color="auto"/>
      </w:divBdr>
    </w:div>
    <w:div w:id="1767768720">
      <w:bodyDiv w:val="1"/>
      <w:marLeft w:val="0"/>
      <w:marRight w:val="0"/>
      <w:marTop w:val="0"/>
      <w:marBottom w:val="0"/>
      <w:divBdr>
        <w:top w:val="none" w:sz="0" w:space="0" w:color="auto"/>
        <w:left w:val="none" w:sz="0" w:space="0" w:color="auto"/>
        <w:bottom w:val="none" w:sz="0" w:space="0" w:color="auto"/>
        <w:right w:val="none" w:sz="0" w:space="0" w:color="auto"/>
      </w:divBdr>
    </w:div>
    <w:div w:id="1775051351">
      <w:bodyDiv w:val="1"/>
      <w:marLeft w:val="0"/>
      <w:marRight w:val="0"/>
      <w:marTop w:val="0"/>
      <w:marBottom w:val="0"/>
      <w:divBdr>
        <w:top w:val="none" w:sz="0" w:space="0" w:color="auto"/>
        <w:left w:val="none" w:sz="0" w:space="0" w:color="auto"/>
        <w:bottom w:val="none" w:sz="0" w:space="0" w:color="auto"/>
        <w:right w:val="none" w:sz="0" w:space="0" w:color="auto"/>
      </w:divBdr>
    </w:div>
    <w:div w:id="1805388708">
      <w:bodyDiv w:val="1"/>
      <w:marLeft w:val="0"/>
      <w:marRight w:val="0"/>
      <w:marTop w:val="0"/>
      <w:marBottom w:val="0"/>
      <w:divBdr>
        <w:top w:val="none" w:sz="0" w:space="0" w:color="auto"/>
        <w:left w:val="none" w:sz="0" w:space="0" w:color="auto"/>
        <w:bottom w:val="none" w:sz="0" w:space="0" w:color="auto"/>
        <w:right w:val="none" w:sz="0" w:space="0" w:color="auto"/>
      </w:divBdr>
    </w:div>
    <w:div w:id="1810200955">
      <w:bodyDiv w:val="1"/>
      <w:marLeft w:val="0"/>
      <w:marRight w:val="0"/>
      <w:marTop w:val="0"/>
      <w:marBottom w:val="0"/>
      <w:divBdr>
        <w:top w:val="none" w:sz="0" w:space="0" w:color="auto"/>
        <w:left w:val="none" w:sz="0" w:space="0" w:color="auto"/>
        <w:bottom w:val="none" w:sz="0" w:space="0" w:color="auto"/>
        <w:right w:val="none" w:sz="0" w:space="0" w:color="auto"/>
      </w:divBdr>
    </w:div>
    <w:div w:id="1823616906">
      <w:bodyDiv w:val="1"/>
      <w:marLeft w:val="0"/>
      <w:marRight w:val="0"/>
      <w:marTop w:val="0"/>
      <w:marBottom w:val="0"/>
      <w:divBdr>
        <w:top w:val="none" w:sz="0" w:space="0" w:color="auto"/>
        <w:left w:val="none" w:sz="0" w:space="0" w:color="auto"/>
        <w:bottom w:val="none" w:sz="0" w:space="0" w:color="auto"/>
        <w:right w:val="none" w:sz="0" w:space="0" w:color="auto"/>
      </w:divBdr>
    </w:div>
    <w:div w:id="1826847944">
      <w:bodyDiv w:val="1"/>
      <w:marLeft w:val="0"/>
      <w:marRight w:val="0"/>
      <w:marTop w:val="0"/>
      <w:marBottom w:val="0"/>
      <w:divBdr>
        <w:top w:val="none" w:sz="0" w:space="0" w:color="auto"/>
        <w:left w:val="none" w:sz="0" w:space="0" w:color="auto"/>
        <w:bottom w:val="none" w:sz="0" w:space="0" w:color="auto"/>
        <w:right w:val="none" w:sz="0" w:space="0" w:color="auto"/>
      </w:divBdr>
    </w:div>
    <w:div w:id="1830366327">
      <w:bodyDiv w:val="1"/>
      <w:marLeft w:val="0"/>
      <w:marRight w:val="0"/>
      <w:marTop w:val="0"/>
      <w:marBottom w:val="0"/>
      <w:divBdr>
        <w:top w:val="none" w:sz="0" w:space="0" w:color="auto"/>
        <w:left w:val="none" w:sz="0" w:space="0" w:color="auto"/>
        <w:bottom w:val="none" w:sz="0" w:space="0" w:color="auto"/>
        <w:right w:val="none" w:sz="0" w:space="0" w:color="auto"/>
      </w:divBdr>
    </w:div>
    <w:div w:id="1848858535">
      <w:bodyDiv w:val="1"/>
      <w:marLeft w:val="0"/>
      <w:marRight w:val="0"/>
      <w:marTop w:val="0"/>
      <w:marBottom w:val="0"/>
      <w:divBdr>
        <w:top w:val="none" w:sz="0" w:space="0" w:color="auto"/>
        <w:left w:val="none" w:sz="0" w:space="0" w:color="auto"/>
        <w:bottom w:val="none" w:sz="0" w:space="0" w:color="auto"/>
        <w:right w:val="none" w:sz="0" w:space="0" w:color="auto"/>
      </w:divBdr>
    </w:div>
    <w:div w:id="1887597169">
      <w:bodyDiv w:val="1"/>
      <w:marLeft w:val="0"/>
      <w:marRight w:val="0"/>
      <w:marTop w:val="0"/>
      <w:marBottom w:val="0"/>
      <w:divBdr>
        <w:top w:val="none" w:sz="0" w:space="0" w:color="auto"/>
        <w:left w:val="none" w:sz="0" w:space="0" w:color="auto"/>
        <w:bottom w:val="none" w:sz="0" w:space="0" w:color="auto"/>
        <w:right w:val="none" w:sz="0" w:space="0" w:color="auto"/>
      </w:divBdr>
    </w:div>
    <w:div w:id="1889296205">
      <w:bodyDiv w:val="1"/>
      <w:marLeft w:val="0"/>
      <w:marRight w:val="0"/>
      <w:marTop w:val="0"/>
      <w:marBottom w:val="0"/>
      <w:divBdr>
        <w:top w:val="none" w:sz="0" w:space="0" w:color="auto"/>
        <w:left w:val="none" w:sz="0" w:space="0" w:color="auto"/>
        <w:bottom w:val="none" w:sz="0" w:space="0" w:color="auto"/>
        <w:right w:val="none" w:sz="0" w:space="0" w:color="auto"/>
      </w:divBdr>
    </w:div>
    <w:div w:id="1903248549">
      <w:bodyDiv w:val="1"/>
      <w:marLeft w:val="0"/>
      <w:marRight w:val="0"/>
      <w:marTop w:val="0"/>
      <w:marBottom w:val="0"/>
      <w:divBdr>
        <w:top w:val="none" w:sz="0" w:space="0" w:color="auto"/>
        <w:left w:val="none" w:sz="0" w:space="0" w:color="auto"/>
        <w:bottom w:val="none" w:sz="0" w:space="0" w:color="auto"/>
        <w:right w:val="none" w:sz="0" w:space="0" w:color="auto"/>
      </w:divBdr>
    </w:div>
    <w:div w:id="1906526079">
      <w:bodyDiv w:val="1"/>
      <w:marLeft w:val="0"/>
      <w:marRight w:val="0"/>
      <w:marTop w:val="0"/>
      <w:marBottom w:val="0"/>
      <w:divBdr>
        <w:top w:val="none" w:sz="0" w:space="0" w:color="auto"/>
        <w:left w:val="none" w:sz="0" w:space="0" w:color="auto"/>
        <w:bottom w:val="none" w:sz="0" w:space="0" w:color="auto"/>
        <w:right w:val="none" w:sz="0" w:space="0" w:color="auto"/>
      </w:divBdr>
    </w:div>
    <w:div w:id="1913927129">
      <w:bodyDiv w:val="1"/>
      <w:marLeft w:val="0"/>
      <w:marRight w:val="0"/>
      <w:marTop w:val="0"/>
      <w:marBottom w:val="0"/>
      <w:divBdr>
        <w:top w:val="none" w:sz="0" w:space="0" w:color="auto"/>
        <w:left w:val="none" w:sz="0" w:space="0" w:color="auto"/>
        <w:bottom w:val="none" w:sz="0" w:space="0" w:color="auto"/>
        <w:right w:val="none" w:sz="0" w:space="0" w:color="auto"/>
      </w:divBdr>
    </w:div>
    <w:div w:id="1919122854">
      <w:bodyDiv w:val="1"/>
      <w:marLeft w:val="0"/>
      <w:marRight w:val="0"/>
      <w:marTop w:val="0"/>
      <w:marBottom w:val="0"/>
      <w:divBdr>
        <w:top w:val="none" w:sz="0" w:space="0" w:color="auto"/>
        <w:left w:val="none" w:sz="0" w:space="0" w:color="auto"/>
        <w:bottom w:val="none" w:sz="0" w:space="0" w:color="auto"/>
        <w:right w:val="none" w:sz="0" w:space="0" w:color="auto"/>
      </w:divBdr>
    </w:div>
    <w:div w:id="1933272618">
      <w:bodyDiv w:val="1"/>
      <w:marLeft w:val="0"/>
      <w:marRight w:val="0"/>
      <w:marTop w:val="0"/>
      <w:marBottom w:val="0"/>
      <w:divBdr>
        <w:top w:val="none" w:sz="0" w:space="0" w:color="auto"/>
        <w:left w:val="none" w:sz="0" w:space="0" w:color="auto"/>
        <w:bottom w:val="none" w:sz="0" w:space="0" w:color="auto"/>
        <w:right w:val="none" w:sz="0" w:space="0" w:color="auto"/>
      </w:divBdr>
    </w:div>
    <w:div w:id="1951430750">
      <w:bodyDiv w:val="1"/>
      <w:marLeft w:val="0"/>
      <w:marRight w:val="0"/>
      <w:marTop w:val="0"/>
      <w:marBottom w:val="0"/>
      <w:divBdr>
        <w:top w:val="none" w:sz="0" w:space="0" w:color="auto"/>
        <w:left w:val="none" w:sz="0" w:space="0" w:color="auto"/>
        <w:bottom w:val="none" w:sz="0" w:space="0" w:color="auto"/>
        <w:right w:val="none" w:sz="0" w:space="0" w:color="auto"/>
      </w:divBdr>
    </w:div>
    <w:div w:id="1967929896">
      <w:bodyDiv w:val="1"/>
      <w:marLeft w:val="0"/>
      <w:marRight w:val="0"/>
      <w:marTop w:val="0"/>
      <w:marBottom w:val="0"/>
      <w:divBdr>
        <w:top w:val="none" w:sz="0" w:space="0" w:color="auto"/>
        <w:left w:val="none" w:sz="0" w:space="0" w:color="auto"/>
        <w:bottom w:val="none" w:sz="0" w:space="0" w:color="auto"/>
        <w:right w:val="none" w:sz="0" w:space="0" w:color="auto"/>
      </w:divBdr>
    </w:div>
    <w:div w:id="1974093191">
      <w:bodyDiv w:val="1"/>
      <w:marLeft w:val="0"/>
      <w:marRight w:val="0"/>
      <w:marTop w:val="0"/>
      <w:marBottom w:val="0"/>
      <w:divBdr>
        <w:top w:val="none" w:sz="0" w:space="0" w:color="auto"/>
        <w:left w:val="none" w:sz="0" w:space="0" w:color="auto"/>
        <w:bottom w:val="none" w:sz="0" w:space="0" w:color="auto"/>
        <w:right w:val="none" w:sz="0" w:space="0" w:color="auto"/>
      </w:divBdr>
    </w:div>
    <w:div w:id="1978994417">
      <w:bodyDiv w:val="1"/>
      <w:marLeft w:val="0"/>
      <w:marRight w:val="0"/>
      <w:marTop w:val="0"/>
      <w:marBottom w:val="0"/>
      <w:divBdr>
        <w:top w:val="none" w:sz="0" w:space="0" w:color="auto"/>
        <w:left w:val="none" w:sz="0" w:space="0" w:color="auto"/>
        <w:bottom w:val="none" w:sz="0" w:space="0" w:color="auto"/>
        <w:right w:val="none" w:sz="0" w:space="0" w:color="auto"/>
      </w:divBdr>
    </w:div>
    <w:div w:id="2005818576">
      <w:bodyDiv w:val="1"/>
      <w:marLeft w:val="0"/>
      <w:marRight w:val="0"/>
      <w:marTop w:val="0"/>
      <w:marBottom w:val="0"/>
      <w:divBdr>
        <w:top w:val="none" w:sz="0" w:space="0" w:color="auto"/>
        <w:left w:val="none" w:sz="0" w:space="0" w:color="auto"/>
        <w:bottom w:val="none" w:sz="0" w:space="0" w:color="auto"/>
        <w:right w:val="none" w:sz="0" w:space="0" w:color="auto"/>
      </w:divBdr>
    </w:div>
    <w:div w:id="2026512411">
      <w:bodyDiv w:val="1"/>
      <w:marLeft w:val="0"/>
      <w:marRight w:val="0"/>
      <w:marTop w:val="0"/>
      <w:marBottom w:val="0"/>
      <w:divBdr>
        <w:top w:val="none" w:sz="0" w:space="0" w:color="auto"/>
        <w:left w:val="none" w:sz="0" w:space="0" w:color="auto"/>
        <w:bottom w:val="none" w:sz="0" w:space="0" w:color="auto"/>
        <w:right w:val="none" w:sz="0" w:space="0" w:color="auto"/>
      </w:divBdr>
    </w:div>
    <w:div w:id="2051804189">
      <w:bodyDiv w:val="1"/>
      <w:marLeft w:val="0"/>
      <w:marRight w:val="0"/>
      <w:marTop w:val="0"/>
      <w:marBottom w:val="0"/>
      <w:divBdr>
        <w:top w:val="none" w:sz="0" w:space="0" w:color="auto"/>
        <w:left w:val="none" w:sz="0" w:space="0" w:color="auto"/>
        <w:bottom w:val="none" w:sz="0" w:space="0" w:color="auto"/>
        <w:right w:val="none" w:sz="0" w:space="0" w:color="auto"/>
      </w:divBdr>
    </w:div>
    <w:div w:id="2063480003">
      <w:bodyDiv w:val="1"/>
      <w:marLeft w:val="0"/>
      <w:marRight w:val="0"/>
      <w:marTop w:val="0"/>
      <w:marBottom w:val="0"/>
      <w:divBdr>
        <w:top w:val="none" w:sz="0" w:space="0" w:color="auto"/>
        <w:left w:val="none" w:sz="0" w:space="0" w:color="auto"/>
        <w:bottom w:val="none" w:sz="0" w:space="0" w:color="auto"/>
        <w:right w:val="none" w:sz="0" w:space="0" w:color="auto"/>
      </w:divBdr>
    </w:div>
    <w:div w:id="2075426258">
      <w:bodyDiv w:val="1"/>
      <w:marLeft w:val="0"/>
      <w:marRight w:val="0"/>
      <w:marTop w:val="0"/>
      <w:marBottom w:val="0"/>
      <w:divBdr>
        <w:top w:val="none" w:sz="0" w:space="0" w:color="auto"/>
        <w:left w:val="none" w:sz="0" w:space="0" w:color="auto"/>
        <w:bottom w:val="none" w:sz="0" w:space="0" w:color="auto"/>
        <w:right w:val="none" w:sz="0" w:space="0" w:color="auto"/>
      </w:divBdr>
    </w:div>
    <w:div w:id="2078822490">
      <w:bodyDiv w:val="1"/>
      <w:marLeft w:val="0"/>
      <w:marRight w:val="0"/>
      <w:marTop w:val="0"/>
      <w:marBottom w:val="0"/>
      <w:divBdr>
        <w:top w:val="none" w:sz="0" w:space="0" w:color="auto"/>
        <w:left w:val="none" w:sz="0" w:space="0" w:color="auto"/>
        <w:bottom w:val="none" w:sz="0" w:space="0" w:color="auto"/>
        <w:right w:val="none" w:sz="0" w:space="0" w:color="auto"/>
      </w:divBdr>
    </w:div>
    <w:div w:id="2080595011">
      <w:bodyDiv w:val="1"/>
      <w:marLeft w:val="0"/>
      <w:marRight w:val="0"/>
      <w:marTop w:val="0"/>
      <w:marBottom w:val="0"/>
      <w:divBdr>
        <w:top w:val="none" w:sz="0" w:space="0" w:color="auto"/>
        <w:left w:val="none" w:sz="0" w:space="0" w:color="auto"/>
        <w:bottom w:val="none" w:sz="0" w:space="0" w:color="auto"/>
        <w:right w:val="none" w:sz="0" w:space="0" w:color="auto"/>
      </w:divBdr>
    </w:div>
    <w:div w:id="2082019999">
      <w:bodyDiv w:val="1"/>
      <w:marLeft w:val="0"/>
      <w:marRight w:val="0"/>
      <w:marTop w:val="0"/>
      <w:marBottom w:val="0"/>
      <w:divBdr>
        <w:top w:val="none" w:sz="0" w:space="0" w:color="auto"/>
        <w:left w:val="none" w:sz="0" w:space="0" w:color="auto"/>
        <w:bottom w:val="none" w:sz="0" w:space="0" w:color="auto"/>
        <w:right w:val="none" w:sz="0" w:space="0" w:color="auto"/>
      </w:divBdr>
    </w:div>
    <w:div w:id="2099668598">
      <w:bodyDiv w:val="1"/>
      <w:marLeft w:val="0"/>
      <w:marRight w:val="0"/>
      <w:marTop w:val="0"/>
      <w:marBottom w:val="0"/>
      <w:divBdr>
        <w:top w:val="none" w:sz="0" w:space="0" w:color="auto"/>
        <w:left w:val="none" w:sz="0" w:space="0" w:color="auto"/>
        <w:bottom w:val="none" w:sz="0" w:space="0" w:color="auto"/>
        <w:right w:val="none" w:sz="0" w:space="0" w:color="auto"/>
      </w:divBdr>
    </w:div>
    <w:div w:id="2104915347">
      <w:bodyDiv w:val="1"/>
      <w:marLeft w:val="0"/>
      <w:marRight w:val="0"/>
      <w:marTop w:val="0"/>
      <w:marBottom w:val="0"/>
      <w:divBdr>
        <w:top w:val="none" w:sz="0" w:space="0" w:color="auto"/>
        <w:left w:val="none" w:sz="0" w:space="0" w:color="auto"/>
        <w:bottom w:val="none" w:sz="0" w:space="0" w:color="auto"/>
        <w:right w:val="none" w:sz="0" w:space="0" w:color="auto"/>
      </w:divBdr>
    </w:div>
    <w:div w:id="2117677954">
      <w:bodyDiv w:val="1"/>
      <w:marLeft w:val="0"/>
      <w:marRight w:val="0"/>
      <w:marTop w:val="0"/>
      <w:marBottom w:val="0"/>
      <w:divBdr>
        <w:top w:val="none" w:sz="0" w:space="0" w:color="auto"/>
        <w:left w:val="none" w:sz="0" w:space="0" w:color="auto"/>
        <w:bottom w:val="none" w:sz="0" w:space="0" w:color="auto"/>
        <w:right w:val="none" w:sz="0" w:space="0" w:color="auto"/>
      </w:divBdr>
    </w:div>
    <w:div w:id="2132942854">
      <w:bodyDiv w:val="1"/>
      <w:marLeft w:val="0"/>
      <w:marRight w:val="0"/>
      <w:marTop w:val="0"/>
      <w:marBottom w:val="0"/>
      <w:divBdr>
        <w:top w:val="none" w:sz="0" w:space="0" w:color="auto"/>
        <w:left w:val="none" w:sz="0" w:space="0" w:color="auto"/>
        <w:bottom w:val="none" w:sz="0" w:space="0" w:color="auto"/>
        <w:right w:val="none" w:sz="0" w:space="0" w:color="auto"/>
      </w:divBdr>
    </w:div>
    <w:div w:id="213686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hmacro.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Use xmlns="1e530628-2021-4260-b00e-51ee1b119563">General Use</Document_x0020_Use>
    <Date xmlns="1e530628-2021-4260-b00e-51ee1b119563">2017-03-30T23:00:00+00:00</Date>
    <Country_x0020_Use xmlns="1e530628-2021-4260-b00e-51ee1b119563">All - General Use</Country_x0020_Use>
    <PublishAction xmlns="99fa113b-ca79-4e93-b549-b4f8a619a393">Do not publish</PublishAction>
    <Auto_x0020_Publish_x0020_Status xmlns="99fa113b-ca79-4e93-b549-b4f8a619a393" xsi:nil="true"/>
    <BHUS_x0020_Compliance xmlns="99fa113b-ca79-4e93-b549-b4f8a619a393">N/A</BHUS_x0020_Compliance>
    <New_x0020_Document_x0020_or_x0020_Significant_x0020_Change xmlns="99fa113b-ca79-4e93-b549-b4f8a619a393">false</New_x0020_Document_x0020_or_x0020_Significant_x0020_Change>
    <Approval_x0020_History_x0020_Link xmlns="99fa113b-ca79-4e93-b549-b4f8a619a393">
      <Url xsi:nil="true"/>
      <Description xsi:nil="true"/>
    </Approval_x0020_History_x0020_Link>
    <Fund xmlns="1e530628-2021-4260-b00e-51ee1b119563">10</Fund>
    <Client xmlns="1e530628-2021-4260-b00e-51ee1b119563" xsi:nil="true"/>
    <Origination xmlns="99fa113b-ca79-4e93-b549-b4f8a619a393">UK</Origination>
    <DocumentNumberType xmlns="99fa113b-ca79-4e93-b549-b4f8a619a393">Generic</DocumentNumberType>
    <AiFMD_x0020_Publishing xmlns="99fa113b-ca79-4e93-b549-b4f8a619a393">Both Sites</AiFMD_x0020_Publishing>
    <Outside_x0020_of_x0020_US_x0020_Only xmlns="99fa113b-ca79-4e93-b549-b4f8a619a393">Global</Outside_x0020_of_x0020_US_x0020_Only>
    <AIFMD_x0020_Compliant xmlns="99fa113b-ca79-4e93-b549-b4f8a619a393">true</AIFMD_x0020_Compliant>
    <BHAM_x0020_Compliance xmlns="99fa113b-ca79-4e93-b549-b4f8a619a393">N/A</BHAM_x0020_Compliance>
    <DocumentType xmlns="1e530628-2021-4260-b00e-51ee1b119563">5</DocumentType>
    <Review_x0020_Date xmlns="1e530628-2021-4260-b00e-51ee1b119563" xsi:nil="true"/>
    <Owner xmlns="1e530628-2021-4260-b00e-51ee1b119563">
      <UserInfo>
        <DisplayName>Hart, Catherine</DisplayName>
        <AccountId>328</AccountId>
        <AccountType/>
      </UserInfo>
    </Owner>
    <pdf_suffix xmlns="1e530628-2021-4260-b00e-51ee1b119563">ADV08281</pdf_suffix>
    <US_x0020_Client xmlns="1e530628-2021-4260-b00e-51ee1b119563">false</US_x0020_Client>
    <Review_x0020_Task_x0020_Created xmlns="99fa113b-ca79-4e93-b549-b4f8a619a393">false</Review_x0020_Task_x0020_Created>
    <_dlc_DocId xmlns="1e530628-2021-4260-b00e-51ee1b119563">BHID-27-7891</_dlc_DocId>
    <_dlc_DocIdUrl xmlns="1e530628-2021-4260-b00e-51ee1b119563">
      <Url>https://investorrelations/_layouts/15/DocIdRedir.aspx?ID=BHID-27-7891</Url>
      <Description>BHID-27-7891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36D2DB25F92A4DBB6AD8559995B770" ma:contentTypeVersion="90" ma:contentTypeDescription="Create a new document." ma:contentTypeScope="" ma:versionID="e031f4fa6d7c06580154b5950960bdf7">
  <xsd:schema xmlns:xsd="http://www.w3.org/2001/XMLSchema" xmlns:xs="http://www.w3.org/2001/XMLSchema" xmlns:p="http://schemas.microsoft.com/office/2006/metadata/properties" xmlns:ns2="1e530628-2021-4260-b00e-51ee1b119563" xmlns:ns3="99fa113b-ca79-4e93-b549-b4f8a619a393" targetNamespace="http://schemas.microsoft.com/office/2006/metadata/properties" ma:root="true" ma:fieldsID="6107969cf031b18dc1bf742d28e10c07" ns2:_="" ns3:_="">
    <xsd:import namespace="1e530628-2021-4260-b00e-51ee1b119563"/>
    <xsd:import namespace="99fa113b-ca79-4e93-b549-b4f8a619a393"/>
    <xsd:element name="properties">
      <xsd:complexType>
        <xsd:sequence>
          <xsd:element name="documentManagement">
            <xsd:complexType>
              <xsd:all>
                <xsd:element ref="ns2:Fund"/>
                <xsd:element ref="ns2:DocumentType"/>
                <xsd:element ref="ns2:Date"/>
                <xsd:element ref="ns2:pdf_suffix" minOccurs="0"/>
                <xsd:element ref="ns2:Document_x0020_Use"/>
                <xsd:element ref="ns2:Client" minOccurs="0"/>
                <xsd:element ref="ns2:US_x0020_Client" minOccurs="0"/>
                <xsd:element ref="ns2:Country_x0020_Use"/>
                <xsd:element ref="ns2:Review_x0020_Date" minOccurs="0"/>
                <xsd:element ref="ns2:Owner"/>
                <xsd:element ref="ns3:DocumentNumberType" minOccurs="0"/>
                <xsd:element ref="ns3:PublishAction"/>
                <xsd:element ref="ns3:Approval_x0020_History_x0020_Link" minOccurs="0"/>
                <xsd:element ref="ns3:Review_x0020_Task_x0020_Created" minOccurs="0"/>
                <xsd:element ref="ns3:Origination" minOccurs="0"/>
                <xsd:element ref="ns3:Auto_x0020_Publish_x0020_Status" minOccurs="0"/>
                <xsd:element ref="ns3:AIFMD_x0020_Compliant" minOccurs="0"/>
                <xsd:element ref="ns3:AiFMD_x0020_Publishing" minOccurs="0"/>
                <xsd:element ref="ns2:_dlc_DocId" minOccurs="0"/>
                <xsd:element ref="ns2:_dlc_DocIdUrl" minOccurs="0"/>
                <xsd:element ref="ns2:_dlc_DocIdPersistId" minOccurs="0"/>
                <xsd:element ref="ns3:Outside_x0020_of_x0020_US_x0020_Only" minOccurs="0"/>
                <xsd:element ref="ns3:New_x0020_Document_x0020_or_x0020_Significant_x0020_Change" minOccurs="0"/>
                <xsd:element ref="ns3:BHAM_x0020_Compliance" minOccurs="0"/>
                <xsd:element ref="ns3:BHUS_x0020_Compli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30628-2021-4260-b00e-51ee1b119563" elementFormDefault="qualified">
    <xsd:import namespace="http://schemas.microsoft.com/office/2006/documentManagement/types"/>
    <xsd:import namespace="http://schemas.microsoft.com/office/infopath/2007/PartnerControls"/>
    <xsd:element name="Fund" ma:index="2" ma:displayName="Fund" ma:indexed="true" ma:list="{a9bb8816-3ad1-4b31-8e57-66d6fa95b23f}" ma:internalName="Fund" ma:showField="Abbreviation" ma:web="1e530628-2021-4260-b00e-51ee1b119563">
      <xsd:simpleType>
        <xsd:restriction base="dms:Lookup"/>
      </xsd:simpleType>
    </xsd:element>
    <xsd:element name="DocumentType" ma:index="3" ma:displayName="Document Type" ma:indexed="true" ma:list="{43dd31be-69bd-46f5-b031-f00aa5863fb4}" ma:internalName="DocumentType" ma:showField="Abbreviation" ma:web="1e530628-2021-4260-b00e-51ee1b119563">
      <xsd:simpleType>
        <xsd:restriction base="dms:Lookup"/>
      </xsd:simpleType>
    </xsd:element>
    <xsd:element name="Date" ma:index="4" ma:displayName="Date" ma:format="DateOnly" ma:internalName="Date">
      <xsd:simpleType>
        <xsd:restriction base="dms:DateTime"/>
      </xsd:simpleType>
    </xsd:element>
    <xsd:element name="pdf_suffix" ma:index="5" nillable="true" ma:displayName="Document Number" ma:internalName="pdf_suffix">
      <xsd:simpleType>
        <xsd:restriction base="dms:Text">
          <xsd:maxLength value="255"/>
        </xsd:restriction>
      </xsd:simpleType>
    </xsd:element>
    <xsd:element name="Document_x0020_Use" ma:index="6" ma:displayName="Document Use" ma:default="General Use" ma:format="RadioButtons" ma:internalName="Document_x0020_Use">
      <xsd:simpleType>
        <xsd:restriction base="dms:Choice">
          <xsd:enumeration value="General Use"/>
          <xsd:enumeration value="Client Specific"/>
        </xsd:restriction>
      </xsd:simpleType>
    </xsd:element>
    <xsd:element name="Client" ma:index="7" nillable="true" ma:displayName="Client" ma:list="{53e1a8e5-e1a2-4b79-adbd-ec53de8b1bb0}" ma:internalName="Client" ma:showField="Title" ma:web="1e530628-2021-4260-b00e-51ee1b119563">
      <xsd:simpleType>
        <xsd:restriction base="dms:Lookup"/>
      </xsd:simpleType>
    </xsd:element>
    <xsd:element name="US_x0020_Client" ma:index="8" nillable="true" ma:displayName="US Client" ma:default="0" ma:internalName="US_x0020_Client">
      <xsd:simpleType>
        <xsd:restriction base="dms:Boolean"/>
      </xsd:simpleType>
    </xsd:element>
    <xsd:element name="Country_x0020_Use" ma:index="9" ma:displayName="Country Use" ma:default="All - General Use" ma:format="Dropdown" ma:internalName="Country_x0020_Use">
      <xsd:simpleType>
        <xsd:restriction base="dms:Choice">
          <xsd:enumeration value="All - General Use"/>
          <xsd:enumeration value="AFGHANISTAN"/>
          <xsd:enumeration value="Å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ÔTE D'IVOIRE"/>
          <xsd:enumeration value="CROATIA"/>
          <xsd:enumeration value="CUBA"/>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ÉUNION"/>
          <xsd:enumeration value="ROMANIA"/>
          <xsd:enumeration value="RUSSIAN FEDERATION"/>
          <xsd:enumeration value="RWANDA"/>
          <xsd:enumeration value="SAINT BARTHÉLEMY"/>
          <xsd:enumeration value="SAINT HELENA"/>
          <xsd:enumeration value="SAINT KITTS AND NEVIS"/>
          <xsd:enumeration value="SAINT LUCIA"/>
          <xsd:enumeration value="SAINT MARTIN"/>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Review_x0020_Date" ma:index="10" nillable="true" ma:displayName="Review Date" ma:format="DateOnly" ma:internalName="Review_x0020_Date">
      <xsd:simpleType>
        <xsd:restriction base="dms:DateTime"/>
      </xsd:simpleType>
    </xsd:element>
    <xsd:element name="Owner" ma:index="11" ma:displayName="Owner" ma:description="Owner of this document"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fa113b-ca79-4e93-b549-b4f8a619a393" elementFormDefault="qualified">
    <xsd:import namespace="http://schemas.microsoft.com/office/2006/documentManagement/types"/>
    <xsd:import namespace="http://schemas.microsoft.com/office/infopath/2007/PartnerControls"/>
    <xsd:element name="DocumentNumberType" ma:index="12" nillable="true" ma:displayName="Document Number Type" ma:format="Dropdown" ma:internalName="DocumentNumberType">
      <xsd:simpleType>
        <xsd:restriction base="dms:Choice">
          <xsd:enumeration value="ADV"/>
          <xsd:enumeration value="Generic"/>
        </xsd:restriction>
      </xsd:simpleType>
    </xsd:element>
    <xsd:element name="PublishAction" ma:index="13" ma:displayName="Publish Action" ma:default="Do not publish" ma:description="Determines publish processing after document is approved" ma:format="Dropdown" ma:internalName="PublishAction">
      <xsd:simpleType>
        <xsd:restriction base="dms:Choice">
          <xsd:enumeration value="Do not publish"/>
          <xsd:enumeration value="Publish - Convert to PDF"/>
          <xsd:enumeration value="Publish - Without Conversion"/>
          <xsd:enumeration value="Manual Publish - Convert to PDF"/>
        </xsd:restriction>
      </xsd:simpleType>
    </xsd:element>
    <xsd:element name="Approval_x0020_History_x0020_Link" ma:index="15" nillable="true" ma:displayName="Approval History Link" ma:format="Hyperlink" ma:internalName="Approval_x0020_History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Task_x0020_Created" ma:index="28" nillable="true" ma:displayName="Review Task Created" ma:default="0" ma:hidden="true" ma:internalName="Review_x0020_Task_x0020_Created" ma:readOnly="false">
      <xsd:simpleType>
        <xsd:restriction base="dms:Boolean"/>
      </xsd:simpleType>
    </xsd:element>
    <xsd:element name="Origination" ma:index="32" nillable="true" ma:displayName="Origination" ma:default="UK" ma:format="Dropdown" ma:internalName="Origination">
      <xsd:simpleType>
        <xsd:restriction base="dms:Choice">
          <xsd:enumeration value="UK"/>
          <xsd:enumeration value="US"/>
        </xsd:restriction>
      </xsd:simpleType>
    </xsd:element>
    <xsd:element name="Auto_x0020_Publish_x0020_Status" ma:index="41" nillable="true" ma:displayName="Auto Publish Status" ma:format="Dropdown" ma:internalName="Auto_x0020_Publish_x0020_Status">
      <xsd:simpleType>
        <xsd:restriction base="dms:Choice">
          <xsd:enumeration value="In progress"/>
          <xsd:enumeration value="Completed"/>
          <xsd:enumeration value="Failed"/>
        </xsd:restriction>
      </xsd:simpleType>
    </xsd:element>
    <xsd:element name="AIFMD_x0020_Compliant" ma:index="42" nillable="true" ma:displayName="AIFMD Compliant" ma:default="1" ma:indexed="true" ma:internalName="AIFMD_x0020_Compliant">
      <xsd:simpleType>
        <xsd:restriction base="dms:Boolean"/>
      </xsd:simpleType>
    </xsd:element>
    <xsd:element name="AiFMD_x0020_Publishing" ma:index="43" nillable="true" ma:displayName="AiFMD Publishing" ma:default="Both Sites" ma:format="RadioButtons" ma:internalName="AiFMD_x0020_Publishing">
      <xsd:simpleType>
        <xsd:restriction base="dms:Choice">
          <xsd:enumeration value="Both Sites"/>
          <xsd:enumeration value="AiFMD Site Only"/>
          <xsd:enumeration value="US Site Only"/>
        </xsd:restriction>
      </xsd:simpleType>
    </xsd:element>
    <xsd:element name="Outside_x0020_of_x0020_US_x0020_Only" ma:index="50" nillable="true" ma:displayName="Document Region" ma:default="Global" ma:format="Dropdown" ma:internalName="Outside_x0020_of_x0020_US_x0020_Only">
      <xsd:simpleType>
        <xsd:restriction base="dms:Choice">
          <xsd:enumeration value="US Only"/>
          <xsd:enumeration value="Outside US Only"/>
          <xsd:enumeration value="Global"/>
        </xsd:restriction>
      </xsd:simpleType>
    </xsd:element>
    <xsd:element name="New_x0020_Document_x0020_or_x0020_Significant_x0020_Change" ma:index="51" nillable="true" ma:displayName="New Document or Significant Change" ma:default="0" ma:internalName="New_x0020_Document_x0020_or_x0020_Significant_x0020_Change">
      <xsd:simpleType>
        <xsd:restriction base="dms:Boolean"/>
      </xsd:simpleType>
    </xsd:element>
    <xsd:element name="BHAM_x0020_Compliance" ma:index="53" nillable="true" ma:displayName="BHAM/BHCM Compliance (NFA/CFTC AP)" ma:default="N/A" ma:format="Dropdown" ma:indexed="true" ma:internalName="BHAM_x0020_Compliance">
      <xsd:simpleType>
        <xsd:restriction base="dms:Choice">
          <xsd:enumeration value="Approved"/>
          <xsd:enumeration value="Rejected"/>
          <xsd:enumeration value="N/A"/>
        </xsd:restriction>
      </xsd:simpleType>
    </xsd:element>
    <xsd:element name="BHUS_x0020_Compliance" ma:index="54" nillable="true" ma:displayName="BHUS Compliance" ma:default="N/A" ma:format="Dropdown" ma:internalName="BHUS_x0020_Compliance">
      <xsd:simpleType>
        <xsd:restriction base="dms:Choice">
          <xsd:enumeration value="Approved"/>
          <xsd:enumeration value="Rejecte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DEE2-83E9-4E7D-85D6-51FD76CC4614}">
  <ds:schemaRefs>
    <ds:schemaRef ds:uri="http://schemas.microsoft.com/sharepoint/v3/contenttype/forms"/>
  </ds:schemaRefs>
</ds:datastoreItem>
</file>

<file path=customXml/itemProps2.xml><?xml version="1.0" encoding="utf-8"?>
<ds:datastoreItem xmlns:ds="http://schemas.openxmlformats.org/officeDocument/2006/customXml" ds:itemID="{0707FD48-FB50-4B3D-9361-96241E5B0970}">
  <ds:schemaRefs>
    <ds:schemaRef ds:uri="http://schemas.microsoft.com/office/2006/documentManagement/types"/>
    <ds:schemaRef ds:uri="http://purl.org/dc/dcmitype/"/>
    <ds:schemaRef ds:uri="http://purl.org/dc/elements/1.1/"/>
    <ds:schemaRef ds:uri="99fa113b-ca79-4e93-b549-b4f8a619a393"/>
    <ds:schemaRef ds:uri="http://www.w3.org/XML/1998/namespace"/>
    <ds:schemaRef ds:uri="http://schemas.openxmlformats.org/package/2006/metadata/core-properties"/>
    <ds:schemaRef ds:uri="http://schemas.microsoft.com/office/infopath/2007/PartnerControls"/>
    <ds:schemaRef ds:uri="1e530628-2021-4260-b00e-51ee1b11956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583DFDE-AA69-4406-BA96-85F17C663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30628-2021-4260-b00e-51ee1b119563"/>
    <ds:schemaRef ds:uri="99fa113b-ca79-4e93-b549-b4f8a619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4AC9A-BB98-42AF-B6C2-F217B957EDB8}">
  <ds:schemaRefs>
    <ds:schemaRef ds:uri="http://schemas.microsoft.com/sharepoint/events"/>
  </ds:schemaRefs>
</ds:datastoreItem>
</file>

<file path=customXml/itemProps5.xml><?xml version="1.0" encoding="utf-8"?>
<ds:datastoreItem xmlns:ds="http://schemas.openxmlformats.org/officeDocument/2006/customXml" ds:itemID="{2A0553AB-2545-4C4C-9759-5F4630E2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4342</Words>
  <Characters>24753</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2017-04-28T12:18:00Z</dcterms:created>
  <dcterms:modified xsi:type="dcterms:W3CDTF">2017-04-28T12:18:00Z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0x010100A736D2DB25F92A4DBB6AD8559995B770</vt:lpwstr>
  </property>
  <property fmtid="{D5CDD505-2E9C-101B-9397-08002B2CF9AE}" pid="3" name="_dlc_DocIdItemGuid">
    <vt:lpwstr>06902d33-033f-496f-91a1-89f776f80bb6</vt:lpwstr>
  </property>
  <property fmtid="{D5CDD505-2E9C-101B-9397-08002B2CF9AE}" pid="4" name="WorkflowChangePath">
    <vt:lpwstr>610180f5-822a-494f-9bf6-5cbea07f8014,4;</vt:lpwstr>
  </property>
</Properties>
</file>